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6D8C" w:rsidRDefault="007A6D8C">
      <w:pPr>
        <w:spacing w:after="0" w:line="480" w:lineRule="auto"/>
        <w:jc w:val="center"/>
        <w:rPr>
          <w:rFonts w:cs="Arial"/>
          <w:b/>
        </w:rPr>
      </w:pPr>
      <w:bookmarkStart w:id="0" w:name="_GoBack"/>
      <w:bookmarkEnd w:id="0"/>
    </w:p>
    <w:p w:rsidR="007A6D8C" w:rsidRDefault="00962D2B">
      <w:pPr>
        <w:spacing w:after="0" w:line="480" w:lineRule="auto"/>
        <w:jc w:val="center"/>
        <w:rPr>
          <w:rFonts w:cs="Arial"/>
          <w:b/>
        </w:rPr>
      </w:pPr>
      <w:r>
        <w:rPr>
          <w:rFonts w:cs="Arial"/>
          <w:b/>
        </w:rPr>
        <w:t>TECBAR</w:t>
      </w:r>
    </w:p>
    <w:p w:rsidR="007A6D8C" w:rsidRDefault="007A6D8C">
      <w:pPr>
        <w:spacing w:after="0" w:line="480" w:lineRule="auto"/>
        <w:jc w:val="center"/>
        <w:rPr>
          <w:rFonts w:cs="Arial"/>
          <w:b/>
        </w:rPr>
      </w:pPr>
    </w:p>
    <w:p w:rsidR="007A6D8C" w:rsidRDefault="00962D2B">
      <w:pPr>
        <w:spacing w:after="0" w:line="480" w:lineRule="auto"/>
        <w:jc w:val="center"/>
        <w:rPr>
          <w:rFonts w:cs="Arial"/>
          <w:b/>
        </w:rPr>
      </w:pPr>
      <w:r>
        <w:rPr>
          <w:rFonts w:cs="Arial"/>
          <w:b/>
        </w:rPr>
        <w:t>Guidance on the New CPD Regime</w:t>
      </w:r>
      <w:r>
        <w:rPr>
          <w:rStyle w:val="FootnoteReference"/>
          <w:rFonts w:cs="Arial"/>
          <w:b/>
        </w:rPr>
        <w:footnoteReference w:id="1"/>
      </w:r>
    </w:p>
    <w:p w:rsidR="007A6D8C" w:rsidRDefault="007A6D8C">
      <w:pPr>
        <w:spacing w:after="0" w:line="480" w:lineRule="auto"/>
        <w:jc w:val="both"/>
        <w:rPr>
          <w:rFonts w:cs="Arial"/>
        </w:rPr>
      </w:pPr>
    </w:p>
    <w:p w:rsidR="007A6D8C" w:rsidRDefault="007A6D8C">
      <w:pPr>
        <w:spacing w:after="0" w:line="480" w:lineRule="auto"/>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The Bar Standards Board (“BSB”) has published guidance on the new Continuing Professional Development rules which come into effect on 1 January 2017.</w:t>
      </w:r>
    </w:p>
    <w:p w:rsidR="007A6D8C" w:rsidRDefault="007A6D8C">
      <w:pPr>
        <w:tabs>
          <w:tab w:val="num" w:pos="709"/>
        </w:tabs>
        <w:spacing w:after="0" w:line="480" w:lineRule="auto"/>
        <w:ind w:left="709" w:hanging="709"/>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 xml:space="preserve">Detailed guidance for established practitioners can be found at this web address: </w:t>
      </w:r>
      <w:hyperlink r:id="rId9" w:history="1">
        <w:r>
          <w:rPr>
            <w:rStyle w:val="Hyperlink"/>
            <w:rFonts w:cs="Arial"/>
          </w:rPr>
          <w:t>https://www.barstandardsboard.org.uk/media/1800835/cpd_guidance_for_barrist</w:t>
        </w:r>
        <w:r>
          <w:rPr>
            <w:rStyle w:val="Hyperlink"/>
            <w:rFonts w:cs="Arial"/>
          </w:rPr>
          <w:t>ers.pdf</w:t>
        </w:r>
      </w:hyperlink>
    </w:p>
    <w:p w:rsidR="007A6D8C" w:rsidRDefault="007A6D8C">
      <w:pPr>
        <w:tabs>
          <w:tab w:val="num" w:pos="709"/>
        </w:tabs>
        <w:spacing w:after="0" w:line="480" w:lineRule="auto"/>
        <w:ind w:left="709" w:hanging="709"/>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The new rules require established practitioners to plan their CPD objectives, keep evidence of the CPD that they have undertaken, reflect on the achievement of their objectives and then report on whether they have completed their CPD.</w:t>
      </w:r>
    </w:p>
    <w:p w:rsidR="007A6D8C" w:rsidRDefault="007A6D8C">
      <w:pPr>
        <w:pStyle w:val="ListParagraph"/>
        <w:tabs>
          <w:tab w:val="num" w:pos="709"/>
        </w:tabs>
        <w:ind w:left="709" w:hanging="709"/>
        <w:rPr>
          <w:rFonts w:cs="Arial"/>
        </w:rPr>
      </w:pPr>
    </w:p>
    <w:p w:rsidR="007A6D8C" w:rsidRDefault="00962D2B">
      <w:pPr>
        <w:numPr>
          <w:ilvl w:val="0"/>
          <w:numId w:val="1"/>
        </w:numPr>
        <w:tabs>
          <w:tab w:val="clear" w:pos="851"/>
          <w:tab w:val="num" w:pos="709"/>
        </w:tabs>
        <w:spacing w:after="0" w:line="240" w:lineRule="auto"/>
        <w:ind w:left="709" w:hanging="709"/>
        <w:jc w:val="both"/>
        <w:rPr>
          <w:rFonts w:cs="Arial"/>
        </w:rPr>
      </w:pPr>
      <w:r>
        <w:rPr>
          <w:rFonts w:cs="Arial"/>
        </w:rPr>
        <w:t>The BSB mai</w:t>
      </w:r>
      <w:r>
        <w:rPr>
          <w:rFonts w:cs="Arial"/>
        </w:rPr>
        <w:t>ntain that these changes are intended to be</w:t>
      </w:r>
    </w:p>
    <w:p w:rsidR="007A6D8C" w:rsidRDefault="007A6D8C">
      <w:pPr>
        <w:pStyle w:val="ListParagraph"/>
        <w:spacing w:after="0" w:line="240" w:lineRule="auto"/>
        <w:rPr>
          <w:rFonts w:cs="Arial"/>
        </w:rPr>
      </w:pPr>
    </w:p>
    <w:p w:rsidR="007A6D8C" w:rsidRDefault="007A6D8C">
      <w:pPr>
        <w:pStyle w:val="ListParagraph"/>
        <w:spacing w:after="0" w:line="240" w:lineRule="auto"/>
        <w:rPr>
          <w:rFonts w:cs="Arial"/>
        </w:rPr>
      </w:pPr>
    </w:p>
    <w:p w:rsidR="007A6D8C" w:rsidRDefault="00962D2B">
      <w:pPr>
        <w:numPr>
          <w:ilvl w:val="0"/>
          <w:numId w:val="2"/>
        </w:numPr>
        <w:spacing w:after="0" w:line="480" w:lineRule="auto"/>
        <w:ind w:left="1440" w:hanging="731"/>
        <w:jc w:val="both"/>
        <w:rPr>
          <w:rFonts w:cs="Arial"/>
        </w:rPr>
      </w:pPr>
      <w:r>
        <w:rPr>
          <w:rFonts w:cs="Arial"/>
        </w:rPr>
        <w:t>Less prescriptive</w:t>
      </w:r>
    </w:p>
    <w:p w:rsidR="007A6D8C" w:rsidRDefault="00962D2B">
      <w:pPr>
        <w:numPr>
          <w:ilvl w:val="0"/>
          <w:numId w:val="2"/>
        </w:numPr>
        <w:spacing w:after="0" w:line="480" w:lineRule="auto"/>
        <w:ind w:left="1440" w:hanging="731"/>
        <w:jc w:val="both"/>
        <w:rPr>
          <w:rFonts w:cs="Arial"/>
        </w:rPr>
      </w:pPr>
      <w:r>
        <w:rPr>
          <w:rFonts w:cs="Arial"/>
        </w:rPr>
        <w:t>More flexible</w:t>
      </w:r>
    </w:p>
    <w:p w:rsidR="007A6D8C" w:rsidRDefault="00962D2B">
      <w:pPr>
        <w:numPr>
          <w:ilvl w:val="0"/>
          <w:numId w:val="2"/>
        </w:numPr>
        <w:spacing w:after="0" w:line="480" w:lineRule="auto"/>
        <w:ind w:left="1440" w:hanging="731"/>
        <w:jc w:val="both"/>
        <w:rPr>
          <w:rFonts w:cs="Arial"/>
        </w:rPr>
      </w:pPr>
      <w:r>
        <w:rPr>
          <w:rFonts w:cs="Arial"/>
        </w:rPr>
        <w:t>More suited to your actual training needs</w:t>
      </w:r>
    </w:p>
    <w:p w:rsidR="007A6D8C" w:rsidRDefault="00962D2B">
      <w:pPr>
        <w:numPr>
          <w:ilvl w:val="0"/>
          <w:numId w:val="2"/>
        </w:numPr>
        <w:spacing w:after="0" w:line="480" w:lineRule="auto"/>
        <w:ind w:left="1440" w:hanging="731"/>
        <w:jc w:val="both"/>
        <w:rPr>
          <w:rFonts w:cs="Arial"/>
        </w:rPr>
      </w:pPr>
      <w:r>
        <w:rPr>
          <w:rFonts w:cs="Arial"/>
        </w:rPr>
        <w:t>Less likely to result in irrelevant CPD activities being completed</w:t>
      </w:r>
    </w:p>
    <w:p w:rsidR="007A6D8C" w:rsidRDefault="00962D2B">
      <w:pPr>
        <w:numPr>
          <w:ilvl w:val="0"/>
          <w:numId w:val="2"/>
        </w:numPr>
        <w:spacing w:after="0" w:line="480" w:lineRule="auto"/>
        <w:ind w:left="1440" w:hanging="731"/>
        <w:jc w:val="both"/>
        <w:rPr>
          <w:rFonts w:cs="Arial"/>
        </w:rPr>
      </w:pPr>
      <w:r>
        <w:rPr>
          <w:rFonts w:cs="Arial"/>
        </w:rPr>
        <w:t>Less likely to result in disproportionate supervision and enforcement</w:t>
      </w:r>
      <w:r>
        <w:rPr>
          <w:rFonts w:cs="Arial"/>
        </w:rPr>
        <w:t xml:space="preserve"> action being taken for non-compliance.</w:t>
      </w:r>
    </w:p>
    <w:p w:rsidR="007A6D8C" w:rsidRDefault="007A6D8C">
      <w:pPr>
        <w:pStyle w:val="ListParagraph"/>
        <w:rPr>
          <w:rFonts w:cs="Arial"/>
        </w:rPr>
      </w:pPr>
    </w:p>
    <w:p w:rsidR="007A6D8C" w:rsidRDefault="007A6D8C">
      <w:pPr>
        <w:pStyle w:val="ListParagraph"/>
        <w:rPr>
          <w:rFonts w:cs="Arial"/>
        </w:rPr>
      </w:pPr>
    </w:p>
    <w:p w:rsidR="007A6D8C" w:rsidRDefault="007A6D8C">
      <w:pPr>
        <w:pStyle w:val="ListParagraph"/>
        <w:rPr>
          <w:rFonts w:cs="Arial"/>
        </w:rPr>
      </w:pPr>
    </w:p>
    <w:p w:rsidR="007A6D8C" w:rsidRDefault="007A6D8C">
      <w:pPr>
        <w:pStyle w:val="ListParagrap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The BSB also maintain that these changes will provide the following benefits</w:t>
      </w:r>
    </w:p>
    <w:p w:rsidR="007A6D8C" w:rsidRDefault="007A6D8C">
      <w:pPr>
        <w:spacing w:after="0" w:line="240" w:lineRule="auto"/>
        <w:jc w:val="both"/>
        <w:rPr>
          <w:rFonts w:cs="Arial"/>
        </w:rPr>
      </w:pPr>
    </w:p>
    <w:p w:rsidR="007A6D8C" w:rsidRDefault="00962D2B">
      <w:pPr>
        <w:numPr>
          <w:ilvl w:val="0"/>
          <w:numId w:val="3"/>
        </w:numPr>
        <w:spacing w:after="0" w:line="480" w:lineRule="auto"/>
        <w:ind w:left="1440" w:hanging="720"/>
        <w:jc w:val="both"/>
        <w:rPr>
          <w:rFonts w:cs="Arial"/>
        </w:rPr>
      </w:pPr>
      <w:r>
        <w:rPr>
          <w:rFonts w:cs="Arial"/>
        </w:rPr>
        <w:t xml:space="preserve">There is no need to complete a minimum amount of CPD, nor any amount of accredited CPD.  This could save you time and money as you do </w:t>
      </w:r>
      <w:r>
        <w:rPr>
          <w:rFonts w:cs="Arial"/>
        </w:rPr>
        <w:t>not need to attend courses just to complete twelve hours of CPD.</w:t>
      </w:r>
    </w:p>
    <w:p w:rsidR="007A6D8C" w:rsidRDefault="00962D2B">
      <w:pPr>
        <w:numPr>
          <w:ilvl w:val="0"/>
          <w:numId w:val="3"/>
        </w:numPr>
        <w:spacing w:after="0" w:line="480" w:lineRule="auto"/>
        <w:ind w:left="1440" w:hanging="720"/>
        <w:jc w:val="both"/>
        <w:rPr>
          <w:rFonts w:cs="Arial"/>
        </w:rPr>
      </w:pPr>
      <w:r>
        <w:rPr>
          <w:rFonts w:cs="Arial"/>
        </w:rPr>
        <w:t>There is no incentive to complete irrelevant CPD activities.</w:t>
      </w:r>
    </w:p>
    <w:p w:rsidR="007A6D8C" w:rsidRDefault="00962D2B">
      <w:pPr>
        <w:numPr>
          <w:ilvl w:val="0"/>
          <w:numId w:val="3"/>
        </w:numPr>
        <w:spacing w:after="0" w:line="480" w:lineRule="auto"/>
        <w:ind w:left="1440" w:hanging="720"/>
        <w:jc w:val="both"/>
        <w:rPr>
          <w:rFonts w:cs="Arial"/>
        </w:rPr>
      </w:pPr>
      <w:r>
        <w:rPr>
          <w:rFonts w:cs="Arial"/>
        </w:rPr>
        <w:t>The types of CPD available are more flexible.  For example, there is no restriction on the amount of legal writing which can be co</w:t>
      </w:r>
      <w:r>
        <w:rPr>
          <w:rFonts w:cs="Arial"/>
        </w:rPr>
        <w:t>mpleted.</w:t>
      </w:r>
    </w:p>
    <w:p w:rsidR="007A6D8C" w:rsidRDefault="00962D2B">
      <w:pPr>
        <w:numPr>
          <w:ilvl w:val="0"/>
          <w:numId w:val="3"/>
        </w:numPr>
        <w:spacing w:after="0" w:line="480" w:lineRule="auto"/>
        <w:ind w:left="1440" w:hanging="720"/>
        <w:jc w:val="both"/>
        <w:rPr>
          <w:rFonts w:cs="Arial"/>
        </w:rPr>
      </w:pPr>
      <w:r>
        <w:rPr>
          <w:rFonts w:cs="Arial"/>
        </w:rPr>
        <w:t>The scheme takes into account CPD completed in previous years.  This means CPD can be planned with anticipated workload in mind and varied with actual workload, and can be directly carried over between years.</w:t>
      </w:r>
    </w:p>
    <w:p w:rsidR="007A6D8C" w:rsidRDefault="00962D2B">
      <w:pPr>
        <w:numPr>
          <w:ilvl w:val="0"/>
          <w:numId w:val="3"/>
        </w:numPr>
        <w:spacing w:after="0" w:line="480" w:lineRule="auto"/>
        <w:ind w:left="1440" w:hanging="720"/>
        <w:jc w:val="both"/>
        <w:rPr>
          <w:rFonts w:cs="Arial"/>
        </w:rPr>
      </w:pPr>
      <w:r>
        <w:rPr>
          <w:rFonts w:cs="Arial"/>
        </w:rPr>
        <w:t>There is no longer an extension or wai</w:t>
      </w:r>
      <w:r>
        <w:rPr>
          <w:rFonts w:cs="Arial"/>
        </w:rPr>
        <w:t>vers process.  If your circumstances mean that less CPD needs to be completed due to, for example, maternity leave, ill health or another reason, then this only needs to be noted on your CPD plan.  This means that the regulation is less bureaucratic and mo</w:t>
      </w:r>
      <w:r>
        <w:rPr>
          <w:rFonts w:cs="Arial"/>
        </w:rPr>
        <w:t>re responsive to changing circumstances.</w:t>
      </w:r>
    </w:p>
    <w:p w:rsidR="007A6D8C" w:rsidRDefault="00962D2B">
      <w:pPr>
        <w:numPr>
          <w:ilvl w:val="0"/>
          <w:numId w:val="3"/>
        </w:numPr>
        <w:spacing w:after="0" w:line="480" w:lineRule="auto"/>
        <w:ind w:left="1440" w:hanging="720"/>
        <w:jc w:val="both"/>
        <w:rPr>
          <w:rFonts w:cs="Arial"/>
        </w:rPr>
      </w:pPr>
      <w:r>
        <w:rPr>
          <w:rFonts w:cs="Arial"/>
        </w:rPr>
        <w:t>As a result, the BSB will be able to spend more time focussing on “High Risk” barristers and those who are not engaging with the CPD process or not completing appropriate CPD.</w:t>
      </w:r>
    </w:p>
    <w:p w:rsidR="007A6D8C" w:rsidRDefault="007A6D8C">
      <w:pPr>
        <w:spacing w:after="0" w:line="480" w:lineRule="auto"/>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Whether this new scheme meets these ob</w:t>
      </w:r>
      <w:r>
        <w:rPr>
          <w:rFonts w:cs="Arial"/>
        </w:rPr>
        <w:t>jectives and provides the promised benefits is something of a moot point.  The new scheme seems somewhat bureaucratic and places a greater emphasis on “established practitioners” to plan and then to record their intended compliance with their CPD requireme</w:t>
      </w:r>
      <w:r>
        <w:rPr>
          <w:rFonts w:cs="Arial"/>
        </w:rPr>
        <w:t>nts.</w:t>
      </w:r>
    </w:p>
    <w:p w:rsidR="007A6D8C" w:rsidRDefault="007A6D8C">
      <w:pPr>
        <w:spacing w:after="0" w:line="480" w:lineRule="auto"/>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lastRenderedPageBreak/>
        <w:t xml:space="preserve">Given the novelty of the system and the practice-specific nature of the new process, just as COMBAR have produced a short note to assist COMBAR members to plan and to execute their CPD requirements, TECBAR have produced this note drawing on COMBAR’s </w:t>
      </w:r>
      <w:r>
        <w:rPr>
          <w:rFonts w:cs="Arial"/>
        </w:rPr>
        <w:t>note and experience.</w:t>
      </w:r>
    </w:p>
    <w:p w:rsidR="007A6D8C" w:rsidRDefault="007A6D8C">
      <w:pPr>
        <w:pStyle w:val="ListParagrap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This note is not intended to replace the BSB’s own guidance but has been prepared to supplement and to give specific guidance for TECBAR members.  However, this note has been reviewed and has been approved by the BSB.</w:t>
      </w:r>
    </w:p>
    <w:p w:rsidR="007A6D8C" w:rsidRDefault="007A6D8C">
      <w:pPr>
        <w:pStyle w:val="ListParagrap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 xml:space="preserve">There are four </w:t>
      </w:r>
      <w:r>
        <w:rPr>
          <w:rFonts w:cs="Arial"/>
        </w:rPr>
        <w:t xml:space="preserve">stages which an established barrister </w:t>
      </w:r>
      <w:r>
        <w:rPr>
          <w:rFonts w:cs="Arial"/>
          <w:u w:val="single"/>
        </w:rPr>
        <w:t>must</w:t>
      </w:r>
      <w:r>
        <w:rPr>
          <w:rFonts w:cs="Arial"/>
        </w:rPr>
        <w:t xml:space="preserve"> complete to be compliant with their CPD requirements</w:t>
      </w:r>
    </w:p>
    <w:p w:rsidR="007A6D8C" w:rsidRDefault="007A6D8C">
      <w:pPr>
        <w:pStyle w:val="ListParagraph"/>
        <w:spacing w:after="0" w:line="240" w:lineRule="auto"/>
        <w:rPr>
          <w:rFonts w:cs="Arial"/>
        </w:rPr>
      </w:pPr>
    </w:p>
    <w:p w:rsidR="007A6D8C" w:rsidRDefault="00962D2B">
      <w:pPr>
        <w:numPr>
          <w:ilvl w:val="0"/>
          <w:numId w:val="4"/>
        </w:numPr>
        <w:spacing w:after="0" w:line="480" w:lineRule="auto"/>
        <w:ind w:left="1440" w:hanging="720"/>
        <w:jc w:val="both"/>
        <w:rPr>
          <w:rFonts w:cs="Arial"/>
        </w:rPr>
      </w:pPr>
      <w:r>
        <w:rPr>
          <w:rFonts w:cs="Arial"/>
        </w:rPr>
        <w:t>Stage 1: “REVIEW”</w:t>
      </w:r>
      <w:r>
        <w:rPr>
          <w:rFonts w:cs="Arial"/>
        </w:rPr>
        <w:tab/>
        <w:t>Planning;</w:t>
      </w:r>
    </w:p>
    <w:p w:rsidR="007A6D8C" w:rsidRDefault="00962D2B">
      <w:pPr>
        <w:numPr>
          <w:ilvl w:val="0"/>
          <w:numId w:val="4"/>
        </w:numPr>
        <w:spacing w:after="0" w:line="480" w:lineRule="auto"/>
        <w:ind w:left="1440" w:hanging="720"/>
        <w:jc w:val="both"/>
        <w:rPr>
          <w:rFonts w:cs="Arial"/>
        </w:rPr>
      </w:pPr>
      <w:r>
        <w:rPr>
          <w:rFonts w:cs="Arial"/>
        </w:rPr>
        <w:t>Stage 2: “RECORD”</w:t>
      </w:r>
      <w:r>
        <w:rPr>
          <w:rFonts w:cs="Arial"/>
        </w:rPr>
        <w:tab/>
        <w:t>Recording and evidence;</w:t>
      </w:r>
    </w:p>
    <w:p w:rsidR="007A6D8C" w:rsidRDefault="00962D2B">
      <w:pPr>
        <w:numPr>
          <w:ilvl w:val="0"/>
          <w:numId w:val="4"/>
        </w:numPr>
        <w:spacing w:after="0" w:line="480" w:lineRule="auto"/>
        <w:ind w:left="1440" w:hanging="720"/>
        <w:jc w:val="both"/>
        <w:rPr>
          <w:rFonts w:cs="Arial"/>
        </w:rPr>
      </w:pPr>
      <w:r>
        <w:rPr>
          <w:rFonts w:cs="Arial"/>
        </w:rPr>
        <w:t>Stage 3: “REFLECT”</w:t>
      </w:r>
      <w:r>
        <w:rPr>
          <w:rFonts w:cs="Arial"/>
        </w:rPr>
        <w:tab/>
        <w:t>Reflecting on your CPD activities;</w:t>
      </w:r>
    </w:p>
    <w:p w:rsidR="007A6D8C" w:rsidRDefault="00962D2B">
      <w:pPr>
        <w:numPr>
          <w:ilvl w:val="0"/>
          <w:numId w:val="4"/>
        </w:numPr>
        <w:spacing w:after="0" w:line="480" w:lineRule="auto"/>
        <w:ind w:left="1440" w:hanging="720"/>
        <w:jc w:val="both"/>
        <w:rPr>
          <w:rFonts w:cs="Arial"/>
        </w:rPr>
      </w:pPr>
      <w:r>
        <w:rPr>
          <w:rFonts w:cs="Arial"/>
        </w:rPr>
        <w:t>Stage 4: “REPORT”</w:t>
      </w:r>
      <w:r>
        <w:rPr>
          <w:rFonts w:cs="Arial"/>
        </w:rPr>
        <w:tab/>
        <w:t>Declaring complet</w:t>
      </w:r>
      <w:r>
        <w:rPr>
          <w:rFonts w:cs="Arial"/>
        </w:rPr>
        <w:t>ion.</w:t>
      </w:r>
    </w:p>
    <w:p w:rsidR="007A6D8C" w:rsidRDefault="007A6D8C">
      <w:pPr>
        <w:spacing w:after="0" w:line="480" w:lineRule="auto"/>
        <w:jc w:val="both"/>
        <w:rPr>
          <w:rFonts w:cs="Arial"/>
        </w:rPr>
      </w:pPr>
    </w:p>
    <w:p w:rsidR="007A6D8C" w:rsidRDefault="00962D2B">
      <w:pPr>
        <w:spacing w:after="0" w:line="480" w:lineRule="auto"/>
        <w:ind w:left="720"/>
        <w:jc w:val="both"/>
        <w:rPr>
          <w:rFonts w:cs="Arial"/>
          <w:u w:val="single"/>
        </w:rPr>
      </w:pPr>
      <w:r>
        <w:rPr>
          <w:rFonts w:cs="Arial"/>
          <w:u w:val="single"/>
        </w:rPr>
        <w:t>PLANNING</w:t>
      </w:r>
    </w:p>
    <w:p w:rsidR="007A6D8C" w:rsidRDefault="007A6D8C">
      <w:pPr>
        <w:pStyle w:val="ListParagraph"/>
        <w:spacing w:after="0" w:line="240" w:lineRule="auto"/>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 xml:space="preserve">At the beginning of the year it is necessary for each established barrister to complete a plan of the CPD that you are going to undertake by setting your “learning objectives”.  No date has been set by when any such plan should be prepared </w:t>
      </w:r>
      <w:r>
        <w:rPr>
          <w:rFonts w:cs="Arial"/>
        </w:rPr>
        <w:t>but it could be sensible to have such a plan in place as soon as possible.</w:t>
      </w:r>
    </w:p>
    <w:p w:rsidR="007A6D8C" w:rsidRDefault="007A6D8C">
      <w:pPr>
        <w:spacing w:after="0" w:line="480" w:lineRule="auto"/>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The TECBAR Committee will continue to provide a professional educational programme to meet the requirement of its TECBAR practitioners.  Many of our members will continue to meet t</w:t>
      </w:r>
      <w:r>
        <w:rPr>
          <w:rFonts w:cs="Arial"/>
        </w:rPr>
        <w:t>heir continuing professional education requirement through the programme of lunchtime and evening seminars, lectures and conferences.</w:t>
      </w:r>
    </w:p>
    <w:p w:rsidR="007A6D8C" w:rsidRDefault="007A6D8C">
      <w:pPr>
        <w:pStyle w:val="ListParagraph"/>
        <w:spacing w:line="480" w:lineRule="auto"/>
        <w:contextualSpacing/>
        <w:rPr>
          <w:rFonts w:cs="Arial"/>
        </w:rPr>
      </w:pPr>
    </w:p>
    <w:p w:rsidR="007A6D8C" w:rsidRDefault="00962D2B">
      <w:pPr>
        <w:numPr>
          <w:ilvl w:val="0"/>
          <w:numId w:val="1"/>
        </w:numPr>
        <w:tabs>
          <w:tab w:val="clear" w:pos="851"/>
          <w:tab w:val="num" w:pos="709"/>
        </w:tabs>
        <w:spacing w:after="0" w:line="480" w:lineRule="auto"/>
        <w:ind w:left="709" w:hanging="709"/>
        <w:contextualSpacing/>
        <w:jc w:val="both"/>
        <w:rPr>
          <w:rFonts w:cs="Arial"/>
        </w:rPr>
      </w:pPr>
      <w:r>
        <w:rPr>
          <w:rFonts w:cs="Arial"/>
        </w:rPr>
        <w:t xml:space="preserve">The TECBAR Committee is unable to set out the entirety of its proposed programme at the beginning of the year or indeed </w:t>
      </w:r>
      <w:r>
        <w:rPr>
          <w:rFonts w:cs="Arial"/>
        </w:rPr>
        <w:t>by the end of February 2018.  However, the following programme of events is in the course of being finalised by the TECBAR committee or with the assistance of the TECBAR committee.</w:t>
      </w:r>
    </w:p>
    <w:p w:rsidR="007A6D8C" w:rsidRDefault="007A6D8C">
      <w:pPr>
        <w:pStyle w:val="ListParagraph"/>
        <w:spacing w:line="480" w:lineRule="auto"/>
        <w:contextualSpacing/>
        <w:rPr>
          <w:rFonts w:cs="Arial"/>
        </w:rPr>
      </w:pPr>
    </w:p>
    <w:p w:rsidR="007A6D8C" w:rsidRDefault="00962D2B">
      <w:pPr>
        <w:pStyle w:val="ListParagraph"/>
        <w:spacing w:line="480" w:lineRule="auto"/>
        <w:ind w:left="3600" w:hanging="2880"/>
        <w:contextualSpacing/>
        <w:rPr>
          <w:rFonts w:cs="Arial"/>
        </w:rPr>
      </w:pPr>
      <w:r>
        <w:rPr>
          <w:rFonts w:cs="Arial"/>
        </w:rPr>
        <w:t>14 March 2018</w:t>
      </w:r>
      <w:r>
        <w:rPr>
          <w:rFonts w:cs="Arial"/>
        </w:rPr>
        <w:tab/>
        <w:t>Junior TECBAR Lecture “Barristers are From Mars, Clients are</w:t>
      </w:r>
      <w:r>
        <w:rPr>
          <w:rFonts w:cs="Arial"/>
        </w:rPr>
        <w:t xml:space="preserve"> from Venus: How to develop your practice” by Lucy Garrett</w:t>
      </w:r>
    </w:p>
    <w:p w:rsidR="007A6D8C" w:rsidRDefault="00962D2B">
      <w:pPr>
        <w:spacing w:after="0" w:line="480" w:lineRule="auto"/>
        <w:ind w:left="709"/>
        <w:contextualSpacing/>
        <w:jc w:val="both"/>
        <w:rPr>
          <w:rFonts w:cs="Arial"/>
        </w:rPr>
      </w:pPr>
      <w:r>
        <w:rPr>
          <w:rFonts w:cs="Arial"/>
        </w:rPr>
        <w:t xml:space="preserve">21 April 2018 </w:t>
      </w:r>
      <w:r>
        <w:rPr>
          <w:rFonts w:cs="Arial"/>
        </w:rPr>
        <w:tab/>
      </w:r>
      <w:r>
        <w:rPr>
          <w:rFonts w:cs="Arial"/>
        </w:rPr>
        <w:tab/>
      </w:r>
      <w:r>
        <w:rPr>
          <w:rFonts w:cs="Arial"/>
        </w:rPr>
        <w:tab/>
        <w:t>TECBAR Annual Conference (6 hours’ CPD)</w:t>
      </w:r>
    </w:p>
    <w:p w:rsidR="007A6D8C" w:rsidRDefault="007A6D8C">
      <w:pPr>
        <w:spacing w:after="0" w:line="480" w:lineRule="auto"/>
        <w:ind w:left="709"/>
        <w:contextualSpacing/>
        <w:jc w:val="both"/>
        <w:rPr>
          <w:rFonts w:cs="Arial"/>
        </w:rPr>
      </w:pPr>
    </w:p>
    <w:p w:rsidR="007A6D8C" w:rsidRDefault="00962D2B">
      <w:pPr>
        <w:spacing w:after="0" w:line="480" w:lineRule="auto"/>
        <w:ind w:left="3600" w:hanging="2891"/>
        <w:contextualSpacing/>
        <w:jc w:val="both"/>
        <w:rPr>
          <w:rFonts w:cs="Arial"/>
        </w:rPr>
      </w:pPr>
      <w:r>
        <w:rPr>
          <w:rFonts w:cs="Arial"/>
        </w:rPr>
        <w:t>May 2018</w:t>
      </w:r>
      <w:r>
        <w:rPr>
          <w:rFonts w:cs="Arial"/>
        </w:rPr>
        <w:tab/>
        <w:t>Update on disclosure in the TCC (estimated to be 1 hour of CPD)</w:t>
      </w:r>
    </w:p>
    <w:p w:rsidR="007A6D8C" w:rsidRDefault="007A6D8C">
      <w:pPr>
        <w:spacing w:after="0" w:line="480" w:lineRule="auto"/>
        <w:ind w:left="2880" w:hanging="2171"/>
        <w:contextualSpacing/>
        <w:jc w:val="both"/>
        <w:rPr>
          <w:rFonts w:cs="Arial"/>
        </w:rPr>
      </w:pPr>
    </w:p>
    <w:p w:rsidR="007A6D8C" w:rsidRDefault="00962D2B">
      <w:pPr>
        <w:spacing w:after="0" w:line="480" w:lineRule="auto"/>
        <w:ind w:left="2880" w:hanging="2171"/>
        <w:contextualSpacing/>
        <w:jc w:val="both"/>
        <w:rPr>
          <w:rFonts w:cs="Arial"/>
        </w:rPr>
      </w:pPr>
      <w:r>
        <w:rPr>
          <w:rFonts w:cs="Arial"/>
        </w:rPr>
        <w:t>6 /13 June 2018</w:t>
      </w:r>
      <w:r>
        <w:rPr>
          <w:rFonts w:cs="Arial"/>
        </w:rPr>
        <w:tab/>
      </w:r>
      <w:r>
        <w:rPr>
          <w:rFonts w:cs="Arial"/>
        </w:rPr>
        <w:tab/>
        <w:t>TECBAR Lunchtime Lecture</w:t>
      </w:r>
    </w:p>
    <w:p w:rsidR="007A6D8C" w:rsidRDefault="007A6D8C">
      <w:pPr>
        <w:spacing w:after="0" w:line="480" w:lineRule="auto"/>
        <w:ind w:left="2880" w:hanging="2171"/>
        <w:contextualSpacing/>
        <w:jc w:val="both"/>
        <w:rPr>
          <w:rFonts w:cs="Arial"/>
        </w:rPr>
      </w:pPr>
    </w:p>
    <w:p w:rsidR="007A6D8C" w:rsidRDefault="00962D2B">
      <w:pPr>
        <w:spacing w:after="0" w:line="480" w:lineRule="auto"/>
        <w:ind w:left="2880" w:hanging="2171"/>
        <w:contextualSpacing/>
        <w:jc w:val="both"/>
        <w:rPr>
          <w:rFonts w:cs="Arial"/>
        </w:rPr>
      </w:pPr>
      <w:r>
        <w:rPr>
          <w:rFonts w:cs="Arial"/>
        </w:rPr>
        <w:t>September 2018</w:t>
      </w:r>
      <w:r>
        <w:rPr>
          <w:rFonts w:cs="Arial"/>
        </w:rPr>
        <w:tab/>
      </w:r>
      <w:r>
        <w:rPr>
          <w:rFonts w:cs="Arial"/>
        </w:rPr>
        <w:tab/>
        <w:t>Junior</w:t>
      </w:r>
      <w:r>
        <w:rPr>
          <w:rFonts w:cs="Arial"/>
        </w:rPr>
        <w:t xml:space="preserve"> TECBAR Lecture</w:t>
      </w:r>
    </w:p>
    <w:p w:rsidR="007A6D8C" w:rsidRDefault="007A6D8C">
      <w:pPr>
        <w:spacing w:after="0" w:line="480" w:lineRule="auto"/>
        <w:ind w:left="2880" w:hanging="2171"/>
        <w:contextualSpacing/>
        <w:jc w:val="both"/>
        <w:rPr>
          <w:rFonts w:cs="Arial"/>
        </w:rPr>
      </w:pPr>
    </w:p>
    <w:p w:rsidR="007A6D8C" w:rsidRDefault="00962D2B">
      <w:pPr>
        <w:spacing w:after="0" w:line="480" w:lineRule="auto"/>
        <w:ind w:left="2880" w:hanging="2171"/>
        <w:contextualSpacing/>
        <w:jc w:val="both"/>
        <w:rPr>
          <w:rFonts w:cs="Arial"/>
        </w:rPr>
      </w:pPr>
      <w:r>
        <w:rPr>
          <w:rFonts w:cs="Arial"/>
        </w:rPr>
        <w:t xml:space="preserve">19/27 September 2018 </w:t>
      </w:r>
      <w:r>
        <w:rPr>
          <w:rFonts w:cs="Arial"/>
        </w:rPr>
        <w:tab/>
        <w:t xml:space="preserve">TECBAR Lunchtime Lecture </w:t>
      </w:r>
    </w:p>
    <w:p w:rsidR="007A6D8C" w:rsidRDefault="007A6D8C">
      <w:pPr>
        <w:spacing w:after="0" w:line="480" w:lineRule="auto"/>
        <w:ind w:left="2880" w:hanging="2171"/>
        <w:jc w:val="both"/>
        <w:rPr>
          <w:rFonts w:cs="Arial"/>
        </w:rPr>
      </w:pPr>
    </w:p>
    <w:p w:rsidR="007A6D8C" w:rsidRDefault="00962D2B">
      <w:pPr>
        <w:spacing w:after="0" w:line="480" w:lineRule="auto"/>
        <w:ind w:left="2880" w:hanging="2171"/>
        <w:jc w:val="both"/>
        <w:rPr>
          <w:rFonts w:cs="Arial"/>
        </w:rPr>
      </w:pPr>
      <w:r>
        <w:rPr>
          <w:rFonts w:cs="Arial"/>
        </w:rPr>
        <w:t>8 November 2018</w:t>
      </w:r>
      <w:r>
        <w:rPr>
          <w:rFonts w:cs="Arial"/>
        </w:rPr>
        <w:tab/>
      </w:r>
      <w:r>
        <w:rPr>
          <w:rFonts w:cs="Arial"/>
        </w:rPr>
        <w:tab/>
        <w:t>TECBAR/SCL Autumn Lecture</w:t>
      </w:r>
    </w:p>
    <w:p w:rsidR="007A6D8C" w:rsidRDefault="007A6D8C">
      <w:pPr>
        <w:spacing w:after="0" w:line="480" w:lineRule="auto"/>
        <w:ind w:left="2880" w:hanging="2171"/>
        <w:jc w:val="both"/>
        <w:rPr>
          <w:rFonts w:cs="Arial"/>
        </w:rPr>
      </w:pPr>
    </w:p>
    <w:p w:rsidR="007A6D8C" w:rsidRDefault="00962D2B">
      <w:pPr>
        <w:numPr>
          <w:ilvl w:val="0"/>
          <w:numId w:val="1"/>
        </w:numPr>
        <w:spacing w:after="0" w:line="480" w:lineRule="auto"/>
        <w:jc w:val="both"/>
        <w:rPr>
          <w:rFonts w:cs="Arial"/>
        </w:rPr>
      </w:pPr>
      <w:r>
        <w:rPr>
          <w:rFonts w:cs="Arial"/>
        </w:rPr>
        <w:t xml:space="preserve">The programme set out above will help you to achieve a number of the BSB’s specified CPD learning objectives, including (1) Legal knowledge and </w:t>
      </w:r>
      <w:r>
        <w:rPr>
          <w:rFonts w:cs="Arial"/>
        </w:rPr>
        <w:t>skills; (2) Practice management; (3) Working with clients and others; and (4) Ethics, professionalism and judgement. TECBAR recommends that you include attendance at the events set out above as part of your CPD plan.</w:t>
      </w:r>
    </w:p>
    <w:p w:rsidR="007A6D8C" w:rsidRDefault="007A6D8C">
      <w:pPr>
        <w:spacing w:after="0" w:line="480" w:lineRule="auto"/>
        <w:ind w:left="709"/>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It seems inevitable that if TECBAR mem</w:t>
      </w:r>
      <w:r>
        <w:rPr>
          <w:rFonts w:cs="Arial"/>
        </w:rPr>
        <w:t>bers are seeking to rely upon TECBAR to assist in the achievement of their “learning objectives” any description of those “learning objectives” at the beginning of the year or even by the end of February cannot be very specific.  The BSB understands and ac</w:t>
      </w:r>
      <w:r>
        <w:rPr>
          <w:rFonts w:cs="Arial"/>
        </w:rPr>
        <w:t>cepts that those objectives will undoubtedly develop and will become more specific as the year unfolds.</w:t>
      </w:r>
    </w:p>
    <w:p w:rsidR="007A6D8C" w:rsidRDefault="007A6D8C">
      <w:pPr>
        <w:spacing w:after="0" w:line="480" w:lineRule="auto"/>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Following the very helpful guidance provided by COMBAR to its membership we have completed a modified draft of the BSB’s “Established Practitioner Prog</w:t>
      </w:r>
      <w:r>
        <w:rPr>
          <w:rFonts w:cs="Arial"/>
        </w:rPr>
        <w:t>ramme Template” which has been completed with some outline Learning Objectives which might be appropriate for a TECBAR practitioner.</w:t>
      </w:r>
    </w:p>
    <w:p w:rsidR="007A6D8C" w:rsidRDefault="007A6D8C">
      <w:pPr>
        <w:pStyle w:val="ListParagraph"/>
        <w:rPr>
          <w:rFonts w:cs="Arial"/>
        </w:rPr>
      </w:pPr>
    </w:p>
    <w:p w:rsidR="007A6D8C" w:rsidRDefault="00962D2B">
      <w:pPr>
        <w:spacing w:after="0" w:line="480" w:lineRule="auto"/>
        <w:ind w:left="709"/>
        <w:jc w:val="both"/>
        <w:rPr>
          <w:rFonts w:cs="Arial"/>
          <w:u w:val="single"/>
        </w:rPr>
      </w:pPr>
      <w:r>
        <w:rPr>
          <w:rFonts w:cs="Arial"/>
          <w:u w:val="single"/>
        </w:rPr>
        <w:t>RECORDING AND EVIDENCE</w:t>
      </w:r>
    </w:p>
    <w:p w:rsidR="007A6D8C" w:rsidRDefault="007A6D8C">
      <w:pPr>
        <w:pStyle w:val="ListParagraph"/>
        <w:spacing w:after="0" w:line="240" w:lineRule="auto"/>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It would also be sensible for each TECBAR member to keep a note of your attendance at each such ev</w:t>
      </w:r>
      <w:r>
        <w:rPr>
          <w:rFonts w:cs="Arial"/>
        </w:rPr>
        <w:t>ent as set out in the attached BSB template.  TECBAR will continue to keep a note of those attending its own events in case any individual member is spot-checked.  Until further guidance is provided it would seem prudent to plan to take part in some twelve</w:t>
      </w:r>
      <w:r>
        <w:rPr>
          <w:rFonts w:cs="Arial"/>
        </w:rPr>
        <w:t xml:space="preserve"> hours of CPD activities.</w:t>
      </w:r>
    </w:p>
    <w:p w:rsidR="007A6D8C" w:rsidRDefault="007A6D8C">
      <w:pPr>
        <w:spacing w:after="0" w:line="480" w:lineRule="auto"/>
        <w:jc w:val="both"/>
        <w:rPr>
          <w:rFonts w:cs="Arial"/>
        </w:rPr>
      </w:pPr>
    </w:p>
    <w:p w:rsidR="007A6D8C" w:rsidRDefault="00962D2B">
      <w:pPr>
        <w:spacing w:after="0" w:line="480" w:lineRule="auto"/>
        <w:ind w:left="709"/>
        <w:jc w:val="both"/>
        <w:rPr>
          <w:rFonts w:cs="Arial"/>
          <w:u w:val="single"/>
        </w:rPr>
      </w:pPr>
      <w:r>
        <w:rPr>
          <w:rFonts w:cs="Arial"/>
          <w:u w:val="single"/>
        </w:rPr>
        <w:t>REFLECTING ON YOUR CPD ACTIVITIES</w:t>
      </w:r>
    </w:p>
    <w:p w:rsidR="007A6D8C" w:rsidRDefault="007A6D8C">
      <w:pPr>
        <w:spacing w:after="0" w:line="240" w:lineRule="auto"/>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This aspect of the process is the most difficult to be specific about.  The BSB have not prescribed a specific process for its “Reflect” stage but has indicated that a “structured process” is re</w:t>
      </w:r>
      <w:r>
        <w:rPr>
          <w:rFonts w:cs="Arial"/>
        </w:rPr>
        <w:t>quired but has not provided a basic framework for the reflection stage of the process in its rules and guidance.</w:t>
      </w:r>
    </w:p>
    <w:p w:rsidR="007A6D8C" w:rsidRDefault="007A6D8C">
      <w:pPr>
        <w:spacing w:after="0" w:line="480" w:lineRule="auto"/>
        <w:jc w:val="both"/>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It would seem sensible to keep some record of how we each carry out this phase of the process explaining whether we have achieved all “learnin</w:t>
      </w:r>
      <w:r>
        <w:rPr>
          <w:rFonts w:cs="Arial"/>
        </w:rPr>
        <w:t>g objectives”.  Indeed, the final page of the attached BSB template is designed to enable you to consider achievement of your objectives in a “structured” way.</w:t>
      </w:r>
    </w:p>
    <w:p w:rsidR="007A6D8C" w:rsidRDefault="007A6D8C">
      <w:pPr>
        <w:pStyle w:val="ListParagraph"/>
        <w:rPr>
          <w:rFonts w:cs="Arial"/>
        </w:rPr>
      </w:pPr>
    </w:p>
    <w:p w:rsidR="007A6D8C" w:rsidRDefault="00962D2B">
      <w:pPr>
        <w:spacing w:after="0" w:line="480" w:lineRule="auto"/>
        <w:ind w:left="709"/>
        <w:jc w:val="both"/>
        <w:rPr>
          <w:rFonts w:cs="Arial"/>
          <w:u w:val="single"/>
        </w:rPr>
      </w:pPr>
      <w:r>
        <w:rPr>
          <w:rFonts w:cs="Arial"/>
          <w:u w:val="single"/>
        </w:rPr>
        <w:t>DECLARING COMPLETION</w:t>
      </w:r>
    </w:p>
    <w:p w:rsidR="007A6D8C" w:rsidRDefault="007A6D8C">
      <w:pPr>
        <w:pStyle w:val="ListParagraph"/>
        <w:spacing w:line="240" w:lineRule="auto"/>
        <w:rPr>
          <w:rFonts w:cs="Arial"/>
        </w:rPr>
      </w:pPr>
    </w:p>
    <w:p w:rsidR="007A6D8C" w:rsidRDefault="00962D2B">
      <w:pPr>
        <w:numPr>
          <w:ilvl w:val="0"/>
          <w:numId w:val="1"/>
        </w:numPr>
        <w:tabs>
          <w:tab w:val="clear" w:pos="851"/>
          <w:tab w:val="num" w:pos="709"/>
        </w:tabs>
        <w:spacing w:after="0" w:line="480" w:lineRule="auto"/>
        <w:ind w:left="709" w:hanging="709"/>
        <w:jc w:val="both"/>
        <w:rPr>
          <w:rFonts w:cs="Arial"/>
        </w:rPr>
      </w:pPr>
      <w:r>
        <w:rPr>
          <w:rFonts w:cs="Arial"/>
        </w:rPr>
        <w:t>Finally, you must make a declaration of completion of CPD each year.  Thi</w:t>
      </w:r>
      <w:r>
        <w:rPr>
          <w:rFonts w:cs="Arial"/>
        </w:rPr>
        <w:t>s should be done when you complete your authorisation to practice documentation.</w:t>
      </w:r>
    </w:p>
    <w:p w:rsidR="007A6D8C" w:rsidRDefault="007A6D8C">
      <w:pPr>
        <w:spacing w:after="0" w:line="480" w:lineRule="auto"/>
        <w:jc w:val="both"/>
        <w:rPr>
          <w:rFonts w:cs="Arial"/>
        </w:rPr>
      </w:pPr>
    </w:p>
    <w:p w:rsidR="007A6D8C" w:rsidRDefault="007A6D8C">
      <w:pPr>
        <w:spacing w:after="0" w:line="480" w:lineRule="auto"/>
        <w:jc w:val="both"/>
        <w:rPr>
          <w:rFonts w:cs="Arial"/>
        </w:rPr>
      </w:pPr>
    </w:p>
    <w:p w:rsidR="007A6D8C" w:rsidRDefault="007A6D8C">
      <w:pPr>
        <w:spacing w:after="0" w:line="480" w:lineRule="auto"/>
        <w:jc w:val="both"/>
        <w:rPr>
          <w:rFonts w:cs="Arial"/>
        </w:rPr>
      </w:pPr>
    </w:p>
    <w:p w:rsidR="007A6D8C" w:rsidRDefault="007A6D8C">
      <w:pPr>
        <w:spacing w:after="0" w:line="480" w:lineRule="auto"/>
        <w:jc w:val="both"/>
        <w:rPr>
          <w:rFonts w:cs="Arial"/>
        </w:rPr>
        <w:sectPr w:rsidR="007A6D8C">
          <w:footerReference w:type="default" r:id="rId10"/>
          <w:pgSz w:w="11906" w:h="16838" w:code="9"/>
          <w:pgMar w:top="1440" w:right="1440" w:bottom="1440" w:left="1440" w:header="706" w:footer="706" w:gutter="0"/>
          <w:cols w:space="708"/>
          <w:docGrid w:linePitch="360"/>
        </w:sectPr>
      </w:pPr>
    </w:p>
    <w:p w:rsidR="007A6D8C" w:rsidRDefault="00962D2B">
      <w:pPr>
        <w:jc w:val="center"/>
        <w:rPr>
          <w:rFonts w:cs="Arial"/>
          <w:b/>
          <w:sz w:val="32"/>
          <w:szCs w:val="32"/>
        </w:rPr>
      </w:pPr>
      <w:r>
        <w:rPr>
          <w:rFonts w:cs="Arial"/>
          <w:b/>
          <w:sz w:val="32"/>
          <w:szCs w:val="32"/>
        </w:rPr>
        <w:t xml:space="preserve">BSB CPD ESTABLISHED PRACTITIONER PROGRAMME TEMPLATE – </w:t>
      </w:r>
      <w:r>
        <w:rPr>
          <w:rFonts w:cs="Arial"/>
          <w:b/>
          <w:sz w:val="32"/>
          <w:szCs w:val="32"/>
        </w:rPr>
        <w:t>TECBAR DRAFT</w:t>
      </w:r>
    </w:p>
    <w:p w:rsidR="007A6D8C" w:rsidRDefault="00962D2B">
      <w:pPr>
        <w:jc w:val="center"/>
        <w:rPr>
          <w:rFonts w:cs="Arial"/>
          <w:shd w:val="clear" w:color="auto" w:fill="FFFFFF"/>
        </w:rPr>
      </w:pPr>
      <w:r>
        <w:rPr>
          <w:rFonts w:cs="Arial"/>
          <w:shd w:val="clear" w:color="auto" w:fill="FFFFFF"/>
        </w:rPr>
        <w:t xml:space="preserve">You should consider the CPD guidance when completing your CPD plan. The guidance can be found </w:t>
      </w:r>
      <w:hyperlink r:id="rId11" w:history="1">
        <w:r>
          <w:rPr>
            <w:rFonts w:cs="Arial"/>
            <w:color w:val="0000FF"/>
            <w:u w:val="single"/>
            <w:shd w:val="clear" w:color="auto" w:fill="FFFFFF"/>
          </w:rPr>
          <w:t>here</w:t>
        </w:r>
      </w:hyperlink>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38"/>
        <w:gridCol w:w="4820"/>
        <w:gridCol w:w="2268"/>
        <w:gridCol w:w="5103"/>
      </w:tblGrid>
      <w:tr w:rsidR="007A6D8C">
        <w:trPr>
          <w:trHeight w:val="866"/>
        </w:trPr>
        <w:tc>
          <w:tcPr>
            <w:tcW w:w="1838" w:type="dxa"/>
            <w:shd w:val="clear" w:color="auto" w:fill="DEEAF6"/>
            <w:vAlign w:val="center"/>
          </w:tcPr>
          <w:p w:rsidR="007A6D8C" w:rsidRDefault="00962D2B">
            <w:pPr>
              <w:jc w:val="center"/>
              <w:rPr>
                <w:rFonts w:cs="Arial"/>
                <w:b/>
              </w:rPr>
            </w:pPr>
            <w:r>
              <w:rPr>
                <w:rFonts w:cs="Arial"/>
                <w:b/>
              </w:rPr>
              <w:t>Name</w:t>
            </w:r>
          </w:p>
        </w:tc>
        <w:tc>
          <w:tcPr>
            <w:tcW w:w="4820" w:type="dxa"/>
            <w:vAlign w:val="center"/>
          </w:tcPr>
          <w:p w:rsidR="007A6D8C" w:rsidRDefault="007A6D8C">
            <w:pPr>
              <w:rPr>
                <w:rFonts w:cs="Arial"/>
                <w:b/>
              </w:rPr>
            </w:pPr>
          </w:p>
        </w:tc>
        <w:tc>
          <w:tcPr>
            <w:tcW w:w="2268" w:type="dxa"/>
            <w:shd w:val="clear" w:color="auto" w:fill="DEEAF6"/>
            <w:vAlign w:val="center"/>
          </w:tcPr>
          <w:p w:rsidR="007A6D8C" w:rsidRDefault="00962D2B">
            <w:pPr>
              <w:rPr>
                <w:rFonts w:cs="Arial"/>
                <w:b/>
              </w:rPr>
            </w:pPr>
            <w:r>
              <w:rPr>
                <w:rFonts w:cs="Arial"/>
                <w:b/>
              </w:rPr>
              <w:t>For year ended</w:t>
            </w:r>
          </w:p>
        </w:tc>
        <w:tc>
          <w:tcPr>
            <w:tcW w:w="5103" w:type="dxa"/>
          </w:tcPr>
          <w:p w:rsidR="007A6D8C" w:rsidRDefault="007A6D8C">
            <w:pPr>
              <w:rPr>
                <w:rFonts w:cs="Arial"/>
                <w:b/>
              </w:rPr>
            </w:pPr>
          </w:p>
        </w:tc>
      </w:tr>
      <w:tr w:rsidR="007A6D8C">
        <w:trPr>
          <w:trHeight w:val="866"/>
        </w:trPr>
        <w:tc>
          <w:tcPr>
            <w:tcW w:w="1838" w:type="dxa"/>
            <w:shd w:val="clear" w:color="auto" w:fill="DEEAF6"/>
            <w:vAlign w:val="center"/>
          </w:tcPr>
          <w:p w:rsidR="007A6D8C" w:rsidRDefault="00962D2B">
            <w:pPr>
              <w:jc w:val="center"/>
              <w:rPr>
                <w:rFonts w:cs="Arial"/>
                <w:b/>
              </w:rPr>
            </w:pPr>
            <w:r>
              <w:rPr>
                <w:rFonts w:cs="Arial"/>
                <w:b/>
              </w:rPr>
              <w:t>Address</w:t>
            </w:r>
          </w:p>
        </w:tc>
        <w:tc>
          <w:tcPr>
            <w:tcW w:w="4820" w:type="dxa"/>
            <w:vAlign w:val="center"/>
          </w:tcPr>
          <w:p w:rsidR="007A6D8C" w:rsidRDefault="007A6D8C">
            <w:pPr>
              <w:rPr>
                <w:rFonts w:cs="Arial"/>
                <w:b/>
              </w:rPr>
            </w:pPr>
          </w:p>
        </w:tc>
        <w:tc>
          <w:tcPr>
            <w:tcW w:w="2268" w:type="dxa"/>
            <w:shd w:val="clear" w:color="auto" w:fill="DEEAF6"/>
            <w:vAlign w:val="center"/>
          </w:tcPr>
          <w:p w:rsidR="007A6D8C" w:rsidRDefault="00962D2B">
            <w:pPr>
              <w:rPr>
                <w:rFonts w:cs="Arial"/>
                <w:b/>
              </w:rPr>
            </w:pPr>
            <w:r>
              <w:rPr>
                <w:rFonts w:cs="Arial"/>
                <w:b/>
              </w:rPr>
              <w:t>Area(s) of practice</w:t>
            </w:r>
          </w:p>
        </w:tc>
        <w:tc>
          <w:tcPr>
            <w:tcW w:w="5103" w:type="dxa"/>
          </w:tcPr>
          <w:p w:rsidR="007A6D8C" w:rsidRDefault="007A6D8C">
            <w:pPr>
              <w:rPr>
                <w:rFonts w:cs="Arial"/>
                <w:b/>
              </w:rPr>
            </w:pPr>
          </w:p>
        </w:tc>
      </w:tr>
      <w:tr w:rsidR="007A6D8C">
        <w:trPr>
          <w:trHeight w:val="866"/>
        </w:trPr>
        <w:tc>
          <w:tcPr>
            <w:tcW w:w="1838" w:type="dxa"/>
            <w:shd w:val="clear" w:color="auto" w:fill="DEEAF6"/>
            <w:vAlign w:val="center"/>
          </w:tcPr>
          <w:p w:rsidR="007A6D8C" w:rsidRDefault="00962D2B">
            <w:pPr>
              <w:jc w:val="center"/>
              <w:rPr>
                <w:rFonts w:cs="Arial"/>
                <w:b/>
              </w:rPr>
            </w:pPr>
            <w:r>
              <w:rPr>
                <w:rFonts w:cs="Arial"/>
                <w:b/>
              </w:rPr>
              <w:t>Email (if available)</w:t>
            </w:r>
          </w:p>
        </w:tc>
        <w:tc>
          <w:tcPr>
            <w:tcW w:w="4820" w:type="dxa"/>
            <w:vAlign w:val="center"/>
          </w:tcPr>
          <w:p w:rsidR="007A6D8C" w:rsidRDefault="007A6D8C">
            <w:pPr>
              <w:rPr>
                <w:rFonts w:cs="Arial"/>
                <w:b/>
              </w:rPr>
            </w:pPr>
          </w:p>
        </w:tc>
        <w:tc>
          <w:tcPr>
            <w:tcW w:w="7371" w:type="dxa"/>
            <w:gridSpan w:val="2"/>
            <w:shd w:val="clear" w:color="auto" w:fill="DEEAF6"/>
            <w:vAlign w:val="center"/>
          </w:tcPr>
          <w:p w:rsidR="007A6D8C" w:rsidRDefault="007A6D8C">
            <w:pPr>
              <w:rPr>
                <w:rFonts w:cs="Arial"/>
                <w:b/>
              </w:rPr>
            </w:pPr>
          </w:p>
        </w:tc>
      </w:tr>
    </w:tbl>
    <w:p w:rsidR="007A6D8C" w:rsidRDefault="007A6D8C">
      <w:pPr>
        <w:rPr>
          <w:rFonts w:cs="Arial"/>
          <w:b/>
          <w:sz w:val="32"/>
          <w:szCs w:val="32"/>
        </w:rPr>
      </w:pPr>
    </w:p>
    <w:p w:rsidR="007A6D8C" w:rsidRDefault="00962D2B">
      <w:pPr>
        <w:rPr>
          <w:rFonts w:cs="Arial"/>
          <w:b/>
          <w:sz w:val="32"/>
          <w:szCs w:val="32"/>
        </w:rPr>
      </w:pPr>
      <w:r>
        <w:rPr>
          <w:rFonts w:cs="Arial"/>
          <w:b/>
          <w:sz w:val="32"/>
          <w:szCs w:val="32"/>
        </w:rPr>
        <w:t>Planning statement</w:t>
      </w: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8931"/>
      </w:tblGrid>
      <w:tr w:rsidR="007A6D8C">
        <w:tc>
          <w:tcPr>
            <w:tcW w:w="5098" w:type="dxa"/>
            <w:shd w:val="clear" w:color="auto" w:fill="FBE4D5"/>
          </w:tcPr>
          <w:p w:rsidR="007A6D8C" w:rsidRDefault="00962D2B">
            <w:pPr>
              <w:rPr>
                <w:rFonts w:ascii="Calibri" w:hAnsi="Calibri" w:cs="Arial"/>
                <w:b/>
              </w:rPr>
            </w:pPr>
            <w:r>
              <w:rPr>
                <w:rFonts w:ascii="Calibri" w:hAnsi="Calibri" w:cs="Arial"/>
                <w:b/>
              </w:rPr>
              <w:t xml:space="preserve">Type of practice </w:t>
            </w:r>
          </w:p>
          <w:p w:rsidR="007A6D8C" w:rsidRDefault="007A6D8C">
            <w:pPr>
              <w:rPr>
                <w:rFonts w:ascii="Calibri" w:hAnsi="Calibri" w:cs="Arial"/>
              </w:rPr>
            </w:pPr>
          </w:p>
          <w:p w:rsidR="007A6D8C" w:rsidRDefault="00962D2B">
            <w:pPr>
              <w:rPr>
                <w:rFonts w:ascii="Calibri" w:hAnsi="Calibri" w:cs="Arial"/>
              </w:rPr>
            </w:pPr>
            <w:proofErr w:type="spellStart"/>
            <w:r>
              <w:rPr>
                <w:rFonts w:ascii="Calibri" w:hAnsi="Calibri" w:cs="Arial"/>
              </w:rPr>
              <w:t>Eg</w:t>
            </w:r>
            <w:proofErr w:type="spellEnd"/>
            <w:r>
              <w:rPr>
                <w:rFonts w:ascii="Calibri" w:hAnsi="Calibri" w:cs="Arial"/>
              </w:rPr>
              <w:t xml:space="preserve"> self-employed, employed, dual capacity, sole practitioner</w:t>
            </w:r>
          </w:p>
          <w:p w:rsidR="007A6D8C" w:rsidRDefault="007A6D8C">
            <w:pPr>
              <w:rPr>
                <w:rFonts w:ascii="Calibri" w:hAnsi="Calibri" w:cs="Arial"/>
              </w:rPr>
            </w:pPr>
          </w:p>
        </w:tc>
        <w:tc>
          <w:tcPr>
            <w:tcW w:w="8931" w:type="dxa"/>
            <w:shd w:val="clear" w:color="auto" w:fill="auto"/>
          </w:tcPr>
          <w:p w:rsidR="007A6D8C" w:rsidRDefault="007A6D8C">
            <w:pPr>
              <w:rPr>
                <w:rFonts w:ascii="Calibri" w:hAnsi="Calibri" w:cs="Arial"/>
                <w:b/>
                <w:shd w:val="clear" w:color="auto" w:fill="FFFFFF"/>
              </w:rPr>
            </w:pPr>
          </w:p>
          <w:p w:rsidR="007A6D8C" w:rsidRDefault="007A6D8C">
            <w:pPr>
              <w:rPr>
                <w:rFonts w:ascii="Calibri" w:hAnsi="Calibri" w:cs="Arial"/>
                <w:b/>
                <w:shd w:val="clear" w:color="auto" w:fill="FFFFFF"/>
              </w:rPr>
            </w:pPr>
          </w:p>
          <w:p w:rsidR="007A6D8C" w:rsidRDefault="00962D2B">
            <w:pPr>
              <w:rPr>
                <w:rFonts w:ascii="Calibri" w:hAnsi="Calibri" w:cs="Arial"/>
                <w:b/>
                <w:shd w:val="clear" w:color="auto" w:fill="FFFFFF"/>
              </w:rPr>
            </w:pPr>
            <w:r>
              <w:rPr>
                <w:rFonts w:ascii="Calibri" w:hAnsi="Calibri" w:cs="Arial"/>
                <w:b/>
                <w:shd w:val="clear" w:color="auto" w:fill="FFFFFF"/>
              </w:rPr>
              <w:t>Self-employed</w:t>
            </w:r>
          </w:p>
        </w:tc>
      </w:tr>
      <w:tr w:rsidR="007A6D8C">
        <w:tc>
          <w:tcPr>
            <w:tcW w:w="5098" w:type="dxa"/>
            <w:tcBorders>
              <w:bottom w:val="single" w:sz="4" w:space="0" w:color="auto"/>
            </w:tcBorders>
            <w:shd w:val="clear" w:color="auto" w:fill="FBE4D5"/>
          </w:tcPr>
          <w:p w:rsidR="007A6D8C" w:rsidRDefault="00962D2B">
            <w:pPr>
              <w:rPr>
                <w:rFonts w:ascii="Calibri" w:hAnsi="Calibri" w:cs="Arial"/>
                <w:b/>
              </w:rPr>
            </w:pPr>
            <w:r>
              <w:rPr>
                <w:rFonts w:ascii="Calibri" w:hAnsi="Calibri" w:cs="Arial"/>
                <w:b/>
              </w:rPr>
              <w:t xml:space="preserve">Role in practice and seniority </w:t>
            </w:r>
          </w:p>
          <w:p w:rsidR="007A6D8C" w:rsidRDefault="007A6D8C">
            <w:pPr>
              <w:rPr>
                <w:rFonts w:ascii="Calibri" w:hAnsi="Calibri" w:cs="Arial"/>
              </w:rPr>
            </w:pPr>
          </w:p>
          <w:p w:rsidR="007A6D8C" w:rsidRDefault="00962D2B">
            <w:pPr>
              <w:rPr>
                <w:rFonts w:ascii="Calibri" w:hAnsi="Calibri" w:cs="Arial"/>
              </w:rPr>
            </w:pPr>
            <w:proofErr w:type="spellStart"/>
            <w:r>
              <w:rPr>
                <w:rFonts w:ascii="Calibri" w:hAnsi="Calibri" w:cs="Arial"/>
              </w:rPr>
              <w:t>Eg</w:t>
            </w:r>
            <w:proofErr w:type="spellEnd"/>
            <w:r>
              <w:rPr>
                <w:rFonts w:ascii="Calibri" w:hAnsi="Calibri" w:cs="Arial"/>
              </w:rPr>
              <w:t xml:space="preserve"> member of chambers, head of chambers, management responsibilities </w:t>
            </w:r>
          </w:p>
          <w:p w:rsidR="007A6D8C" w:rsidRDefault="007A6D8C">
            <w:pPr>
              <w:rPr>
                <w:rFonts w:ascii="Calibri" w:hAnsi="Calibri" w:cs="Arial"/>
              </w:rPr>
            </w:pPr>
          </w:p>
        </w:tc>
        <w:tc>
          <w:tcPr>
            <w:tcW w:w="8931" w:type="dxa"/>
            <w:tcBorders>
              <w:bottom w:val="single" w:sz="4" w:space="0" w:color="auto"/>
            </w:tcBorders>
            <w:shd w:val="clear" w:color="auto" w:fill="auto"/>
          </w:tcPr>
          <w:p w:rsidR="007A6D8C" w:rsidRDefault="007A6D8C">
            <w:pPr>
              <w:rPr>
                <w:rFonts w:ascii="Calibri" w:hAnsi="Calibri" w:cs="Arial"/>
                <w:b/>
                <w:shd w:val="clear" w:color="auto" w:fill="FFFFFF"/>
              </w:rPr>
            </w:pPr>
          </w:p>
          <w:p w:rsidR="007A6D8C" w:rsidRDefault="007A6D8C">
            <w:pPr>
              <w:rPr>
                <w:rFonts w:ascii="Calibri" w:hAnsi="Calibri" w:cs="Arial"/>
                <w:b/>
                <w:shd w:val="clear" w:color="auto" w:fill="FFFFFF"/>
              </w:rPr>
            </w:pPr>
          </w:p>
          <w:p w:rsidR="007A6D8C" w:rsidRDefault="00962D2B">
            <w:pPr>
              <w:rPr>
                <w:rFonts w:ascii="Calibri" w:hAnsi="Calibri" w:cs="Arial"/>
                <w:b/>
                <w:shd w:val="clear" w:color="auto" w:fill="FFFFFF"/>
              </w:rPr>
            </w:pPr>
            <w:r>
              <w:rPr>
                <w:rFonts w:ascii="Calibri" w:hAnsi="Calibri" w:cs="Arial"/>
                <w:b/>
                <w:shd w:val="clear" w:color="auto" w:fill="FFFFFF"/>
              </w:rPr>
              <w:t>Member of chambers</w:t>
            </w:r>
          </w:p>
        </w:tc>
      </w:tr>
    </w:tbl>
    <w:p w:rsidR="007A6D8C" w:rsidRDefault="00962D2B">
      <w:pPr>
        <w:rPr>
          <w:rFonts w:ascii="Calibri" w:hAnsi="Calibri"/>
        </w:rPr>
      </w:pPr>
      <w:r>
        <w:rPr>
          <w:rFonts w:ascii="Calibri" w:hAnsi="Calibri"/>
        </w:rPr>
        <w:br w:type="page"/>
      </w:r>
    </w:p>
    <w:p w:rsidR="007A6D8C" w:rsidRDefault="00962D2B">
      <w:pPr>
        <w:rPr>
          <w:rFonts w:cs="Arial"/>
          <w:b/>
          <w:sz w:val="32"/>
          <w:szCs w:val="32"/>
          <w:shd w:val="clear" w:color="auto" w:fill="FFFFFF"/>
        </w:rPr>
      </w:pPr>
      <w:r>
        <w:rPr>
          <w:rFonts w:cs="Arial"/>
          <w:b/>
          <w:sz w:val="32"/>
          <w:szCs w:val="32"/>
          <w:shd w:val="clear" w:color="auto" w:fill="FFFFFF"/>
        </w:rPr>
        <w:t>Learning Objectives</w:t>
      </w:r>
    </w:p>
    <w:p w:rsidR="007A6D8C" w:rsidRDefault="00962D2B">
      <w:pPr>
        <w:rPr>
          <w:rFonts w:cs="Arial"/>
          <w:shd w:val="clear" w:color="auto" w:fill="FFFFFF"/>
        </w:rPr>
      </w:pPr>
      <w:r>
        <w:rPr>
          <w:rFonts w:cs="Arial"/>
          <w:shd w:val="clear" w:color="auto" w:fill="FFFFFF"/>
        </w:rPr>
        <w:t xml:space="preserve">Use the following section to plan your learning objectives. The definition and explanation of learning objectives can be found on page six </w:t>
      </w:r>
      <w:hyperlink r:id="rId12" w:history="1">
        <w:r>
          <w:rPr>
            <w:rFonts w:cs="Arial"/>
            <w:color w:val="0000FF"/>
            <w:u w:val="single"/>
            <w:shd w:val="clear" w:color="auto" w:fill="FFFFFF"/>
          </w:rPr>
          <w:t>of the guidance.</w:t>
        </w:r>
        <w:r>
          <w:rPr>
            <w:rFonts w:cs="Arial"/>
            <w:color w:val="0000FF"/>
            <w:u w:val="single"/>
            <w:shd w:val="clear" w:color="auto" w:fill="FFFFFF"/>
          </w:rPr>
          <w:t xml:space="preserve"> </w:t>
        </w:r>
      </w:hyperlink>
      <w:r>
        <w:rPr>
          <w:rFonts w:cs="Arial"/>
          <w:shd w:val="clear" w:color="auto" w:fill="FFFFFF"/>
        </w:rPr>
        <w:t xml:space="preserve"> </w:t>
      </w:r>
    </w:p>
    <w:p w:rsidR="007A6D8C" w:rsidRDefault="00962D2B">
      <w:pPr>
        <w:rPr>
          <w:rFonts w:cs="Arial"/>
          <w:shd w:val="clear" w:color="auto" w:fill="FFFFFF"/>
        </w:rPr>
      </w:pPr>
      <w:r>
        <w:rPr>
          <w:rFonts w:cs="Arial"/>
          <w:shd w:val="clear" w:color="auto" w:fill="FFFFFF"/>
        </w:rPr>
        <w:t>Learning objectives should describe what you want to be able to do, or what you want to know and understand, that you couldn’t do, or didn’t know and understand before.</w:t>
      </w:r>
    </w:p>
    <w:p w:rsidR="007A6D8C" w:rsidRDefault="00962D2B">
      <w:pPr>
        <w:rPr>
          <w:rFonts w:cs="Arial"/>
          <w:shd w:val="clear" w:color="auto" w:fill="FFFFFF"/>
        </w:rPr>
      </w:pPr>
      <w:r>
        <w:rPr>
          <w:rFonts w:cs="Arial"/>
          <w:shd w:val="clear" w:color="auto" w:fill="FFFFFF"/>
        </w:rPr>
        <w:t xml:space="preserve">You should provide a clear rationale for choosing your particular learning objectives. </w:t>
      </w:r>
    </w:p>
    <w:p w:rsidR="007A6D8C" w:rsidRDefault="00962D2B">
      <w:pPr>
        <w:rPr>
          <w:rFonts w:cs="Arial"/>
          <w:shd w:val="clear" w:color="auto" w:fill="FFFFFF"/>
        </w:rPr>
      </w:pPr>
      <w:r>
        <w:rPr>
          <w:rFonts w:cs="Arial"/>
          <w:shd w:val="clear" w:color="auto" w:fill="FFFFFF"/>
        </w:rPr>
        <w:t xml:space="preserve">In particular, the guidance recommends using the following knowledge and skill areas to choose and structure your learning objectives (see </w:t>
      </w:r>
      <w:hyperlink r:id="rId13" w:history="1">
        <w:r>
          <w:rPr>
            <w:rFonts w:cs="Arial"/>
            <w:color w:val="0000FF"/>
            <w:u w:val="single"/>
            <w:shd w:val="clear" w:color="auto" w:fill="FFFFFF"/>
          </w:rPr>
          <w:t>pages five to seven</w:t>
        </w:r>
      </w:hyperlink>
      <w:r>
        <w:rPr>
          <w:rFonts w:cs="Arial"/>
          <w:shd w:val="clear" w:color="auto" w:fill="FFFFFF"/>
        </w:rPr>
        <w:t xml:space="preserve">):  </w:t>
      </w:r>
    </w:p>
    <w:p w:rsidR="007A6D8C" w:rsidRDefault="00962D2B">
      <w:pPr>
        <w:numPr>
          <w:ilvl w:val="0"/>
          <w:numId w:val="6"/>
        </w:numPr>
        <w:spacing w:after="0"/>
        <w:contextualSpacing/>
        <w:rPr>
          <w:rFonts w:cs="Arial"/>
          <w:shd w:val="clear" w:color="auto" w:fill="FFFFFF"/>
        </w:rPr>
      </w:pPr>
      <w:r>
        <w:rPr>
          <w:rFonts w:cs="Arial"/>
          <w:shd w:val="clear" w:color="auto" w:fill="FFFFFF"/>
        </w:rPr>
        <w:t>Legal knowledge and skills;</w:t>
      </w:r>
    </w:p>
    <w:p w:rsidR="007A6D8C" w:rsidRDefault="00962D2B">
      <w:pPr>
        <w:numPr>
          <w:ilvl w:val="0"/>
          <w:numId w:val="6"/>
        </w:numPr>
        <w:spacing w:after="0"/>
        <w:contextualSpacing/>
        <w:rPr>
          <w:rFonts w:cs="Arial"/>
          <w:shd w:val="clear" w:color="auto" w:fill="FFFFFF"/>
        </w:rPr>
      </w:pPr>
      <w:r>
        <w:rPr>
          <w:rFonts w:cs="Arial"/>
          <w:shd w:val="clear" w:color="auto" w:fill="FFFFFF"/>
        </w:rPr>
        <w:t xml:space="preserve">Advocacy; </w:t>
      </w:r>
    </w:p>
    <w:p w:rsidR="007A6D8C" w:rsidRDefault="00962D2B">
      <w:pPr>
        <w:numPr>
          <w:ilvl w:val="0"/>
          <w:numId w:val="6"/>
        </w:numPr>
        <w:spacing w:after="0"/>
        <w:contextualSpacing/>
        <w:rPr>
          <w:rFonts w:cs="Arial"/>
          <w:shd w:val="clear" w:color="auto" w:fill="FFFFFF"/>
        </w:rPr>
      </w:pPr>
      <w:r>
        <w:rPr>
          <w:rFonts w:cs="Arial"/>
          <w:shd w:val="clear" w:color="auto" w:fill="FFFFFF"/>
        </w:rPr>
        <w:t xml:space="preserve">Practice management; </w:t>
      </w:r>
    </w:p>
    <w:p w:rsidR="007A6D8C" w:rsidRDefault="00962D2B">
      <w:pPr>
        <w:numPr>
          <w:ilvl w:val="0"/>
          <w:numId w:val="6"/>
        </w:numPr>
        <w:spacing w:after="0"/>
        <w:contextualSpacing/>
        <w:rPr>
          <w:rFonts w:cs="Arial"/>
          <w:shd w:val="clear" w:color="auto" w:fill="FFFFFF"/>
        </w:rPr>
      </w:pPr>
      <w:r>
        <w:rPr>
          <w:rFonts w:cs="Arial"/>
          <w:shd w:val="clear" w:color="auto" w:fill="FFFFFF"/>
        </w:rPr>
        <w:t xml:space="preserve">Working with clients and others; and </w:t>
      </w:r>
    </w:p>
    <w:p w:rsidR="007A6D8C" w:rsidRDefault="00962D2B">
      <w:pPr>
        <w:numPr>
          <w:ilvl w:val="0"/>
          <w:numId w:val="6"/>
        </w:numPr>
        <w:spacing w:after="0"/>
        <w:contextualSpacing/>
        <w:rPr>
          <w:rFonts w:cs="Arial"/>
          <w:shd w:val="clear" w:color="auto" w:fill="FFFFFF"/>
        </w:rPr>
      </w:pPr>
      <w:r>
        <w:rPr>
          <w:rFonts w:cs="Arial"/>
          <w:shd w:val="clear" w:color="auto" w:fill="FFFFFF"/>
        </w:rPr>
        <w:t xml:space="preserve">Ethics, professionalism and judgement. </w:t>
      </w:r>
    </w:p>
    <w:p w:rsidR="007A6D8C" w:rsidRDefault="007A6D8C">
      <w:pPr>
        <w:spacing w:after="0"/>
        <w:rPr>
          <w:rFonts w:cs="Arial"/>
          <w:shd w:val="clear" w:color="auto" w:fill="FFFFFF"/>
        </w:rPr>
      </w:pPr>
    </w:p>
    <w:p w:rsidR="007A6D8C" w:rsidRDefault="00962D2B">
      <w:pPr>
        <w:spacing w:after="0"/>
        <w:rPr>
          <w:rFonts w:cs="Arial"/>
          <w:shd w:val="clear" w:color="auto" w:fill="FFFFFF"/>
        </w:rPr>
      </w:pPr>
      <w:r>
        <w:rPr>
          <w:rFonts w:cs="Arial"/>
          <w:b/>
          <w:shd w:val="clear" w:color="auto" w:fill="FFFFFF"/>
        </w:rPr>
        <w:t>NB</w:t>
      </w:r>
      <w:r>
        <w:rPr>
          <w:rFonts w:cs="Arial"/>
          <w:shd w:val="clear" w:color="auto" w:fill="FFFFFF"/>
        </w:rPr>
        <w:t xml:space="preserve"> It is good practi</w:t>
      </w:r>
      <w:r>
        <w:rPr>
          <w:rFonts w:cs="Arial"/>
          <w:shd w:val="clear" w:color="auto" w:fill="FFFFFF"/>
        </w:rPr>
        <w:t xml:space="preserve">ce to consider all of these knowledge and skill areas but you are not required to set a learning objective for all of these areas in a given year. </w:t>
      </w:r>
    </w:p>
    <w:p w:rsidR="007A6D8C" w:rsidRDefault="007A6D8C">
      <w:pPr>
        <w:spacing w:after="0"/>
        <w:rPr>
          <w:rFonts w:cs="Arial"/>
          <w:shd w:val="clear" w:color="auto" w:fill="FFFFFF"/>
        </w:rPr>
      </w:pPr>
    </w:p>
    <w:p w:rsidR="007A6D8C" w:rsidRDefault="00962D2B">
      <w:pPr>
        <w:rPr>
          <w:rFonts w:cs="Arial"/>
          <w:shd w:val="clear" w:color="auto" w:fill="FFFFFF"/>
        </w:rPr>
      </w:pPr>
      <w:r>
        <w:rPr>
          <w:rFonts w:cs="Arial"/>
          <w:shd w:val="clear" w:color="auto" w:fill="FFFFFF"/>
        </w:rPr>
        <w:t>You are also required to describe the type of CPD that you intend to undertake. This does not mean noting t</w:t>
      </w:r>
      <w:r>
        <w:rPr>
          <w:rFonts w:cs="Arial"/>
          <w:shd w:val="clear" w:color="auto" w:fill="FFFFFF"/>
        </w:rPr>
        <w:t>he exact courses or activities that you will complete, but it does mean thinking about whether your learning objectives will be met by activities such as podcasts, reading or seminars. This is to encourage you to consider why you are choosing particular ty</w:t>
      </w:r>
      <w:r>
        <w:rPr>
          <w:rFonts w:cs="Arial"/>
          <w:shd w:val="clear" w:color="auto" w:fill="FFFFFF"/>
        </w:rPr>
        <w:t>pes of activities.</w:t>
      </w:r>
    </w:p>
    <w:p w:rsidR="007A6D8C" w:rsidRDefault="00962D2B">
      <w:pPr>
        <w:rPr>
          <w:rFonts w:cs="Arial"/>
          <w:shd w:val="clear" w:color="auto" w:fill="FFFFFF"/>
        </w:rPr>
      </w:pPr>
      <w:r>
        <w:rPr>
          <w:rFonts w:cs="Arial"/>
          <w:shd w:val="clear" w:color="auto" w:fill="FFFFFF"/>
        </w:rPr>
        <w:t>Also, if applicable, you should state the reasons why you are completing only a limited amount of CPD during the year, for example, due to a period of not working.</w:t>
      </w:r>
    </w:p>
    <w:p w:rsidR="007A6D8C" w:rsidRDefault="007A6D8C">
      <w:pPr>
        <w:rPr>
          <w:rFonts w:cs="Arial"/>
          <w:shd w:val="clear" w:color="auto" w:fill="FFFFFF"/>
        </w:rPr>
      </w:pPr>
    </w:p>
    <w:p w:rsidR="007A6D8C" w:rsidRDefault="007A6D8C">
      <w:pPr>
        <w:rPr>
          <w:rFonts w:cs="Arial"/>
          <w:shd w:val="clear" w:color="auto" w:fill="FFFFFF"/>
        </w:rPr>
      </w:pPr>
    </w:p>
    <w:p w:rsidR="007A6D8C" w:rsidRDefault="007A6D8C">
      <w:pPr>
        <w:rPr>
          <w:rFonts w:cs="Arial"/>
          <w:shd w:val="clear" w:color="auto" w:fill="FFFFFF"/>
        </w:rPr>
      </w:pPr>
    </w:p>
    <w:tbl>
      <w:tblPr>
        <w:tblW w:w="13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2"/>
        <w:gridCol w:w="3799"/>
        <w:gridCol w:w="4536"/>
        <w:gridCol w:w="4581"/>
      </w:tblGrid>
      <w:tr w:rsidR="007A6D8C">
        <w:trPr>
          <w:trHeight w:val="841"/>
        </w:trPr>
        <w:tc>
          <w:tcPr>
            <w:tcW w:w="4531" w:type="dxa"/>
            <w:gridSpan w:val="2"/>
            <w:shd w:val="clear" w:color="auto" w:fill="E8D8F4"/>
          </w:tcPr>
          <w:p w:rsidR="007A6D8C" w:rsidRDefault="00962D2B">
            <w:pPr>
              <w:jc w:val="center"/>
              <w:rPr>
                <w:rFonts w:ascii="Calibri" w:hAnsi="Calibri" w:cs="Arial"/>
                <w:b/>
              </w:rPr>
            </w:pPr>
            <w:r>
              <w:rPr>
                <w:rFonts w:ascii="Calibri" w:hAnsi="Calibri" w:cs="Arial"/>
                <w:b/>
              </w:rPr>
              <w:t>Learning objectives</w:t>
            </w:r>
          </w:p>
        </w:tc>
        <w:tc>
          <w:tcPr>
            <w:tcW w:w="4536" w:type="dxa"/>
            <w:shd w:val="clear" w:color="auto" w:fill="E8D8F4"/>
          </w:tcPr>
          <w:p w:rsidR="007A6D8C" w:rsidRDefault="00962D2B">
            <w:pPr>
              <w:jc w:val="center"/>
              <w:rPr>
                <w:rFonts w:ascii="Calibri" w:hAnsi="Calibri" w:cs="Arial"/>
                <w:b/>
              </w:rPr>
            </w:pPr>
            <w:r>
              <w:rPr>
                <w:rFonts w:ascii="Calibri" w:hAnsi="Calibri" w:cs="Arial"/>
                <w:b/>
              </w:rPr>
              <w:t>Learning objective rationale</w:t>
            </w:r>
          </w:p>
        </w:tc>
        <w:tc>
          <w:tcPr>
            <w:tcW w:w="4581" w:type="dxa"/>
            <w:shd w:val="clear" w:color="auto" w:fill="E8D8F4"/>
          </w:tcPr>
          <w:p w:rsidR="007A6D8C" w:rsidRDefault="00962D2B">
            <w:pPr>
              <w:jc w:val="center"/>
              <w:rPr>
                <w:rFonts w:ascii="Calibri" w:hAnsi="Calibri" w:cs="Arial"/>
                <w:b/>
              </w:rPr>
            </w:pPr>
            <w:r>
              <w:rPr>
                <w:rFonts w:ascii="Calibri" w:hAnsi="Calibri" w:cs="Arial"/>
                <w:b/>
              </w:rPr>
              <w:t>Type and nature of CP</w:t>
            </w:r>
            <w:r>
              <w:rPr>
                <w:rFonts w:ascii="Calibri" w:hAnsi="Calibri" w:cs="Arial"/>
                <w:b/>
              </w:rPr>
              <w:t>D activities</w:t>
            </w:r>
          </w:p>
        </w:tc>
      </w:tr>
      <w:tr w:rsidR="007A6D8C">
        <w:trPr>
          <w:trHeight w:val="2016"/>
        </w:trPr>
        <w:tc>
          <w:tcPr>
            <w:tcW w:w="732" w:type="dxa"/>
            <w:shd w:val="clear" w:color="auto" w:fill="auto"/>
            <w:vAlign w:val="center"/>
          </w:tcPr>
          <w:p w:rsidR="007A6D8C" w:rsidRDefault="00962D2B">
            <w:pPr>
              <w:jc w:val="center"/>
              <w:rPr>
                <w:rFonts w:ascii="Calibri" w:hAnsi="Calibri" w:cs="Arial"/>
                <w:b/>
                <w:shd w:val="clear" w:color="auto" w:fill="FFFFFF"/>
              </w:rPr>
            </w:pPr>
            <w:r>
              <w:rPr>
                <w:rFonts w:ascii="Calibri" w:hAnsi="Calibri" w:cs="Arial"/>
                <w:b/>
                <w:shd w:val="clear" w:color="auto" w:fill="FFFFFF"/>
              </w:rPr>
              <w:t>A</w:t>
            </w:r>
          </w:p>
        </w:tc>
        <w:tc>
          <w:tcPr>
            <w:tcW w:w="3799" w:type="dxa"/>
            <w:shd w:val="clear" w:color="auto" w:fill="auto"/>
            <w:vAlign w:val="center"/>
          </w:tcPr>
          <w:p w:rsidR="007A6D8C" w:rsidRDefault="00962D2B">
            <w:pPr>
              <w:spacing w:line="256" w:lineRule="auto"/>
              <w:rPr>
                <w:rFonts w:ascii="Calibri" w:hAnsi="Calibri" w:cs="Arial"/>
                <w:b/>
                <w:shd w:val="clear" w:color="auto" w:fill="FFFFFF"/>
              </w:rPr>
            </w:pPr>
            <w:r>
              <w:rPr>
                <w:rFonts w:ascii="Calibri" w:hAnsi="Calibri" w:cs="Arial"/>
                <w:b/>
                <w:shd w:val="clear" w:color="auto" w:fill="FFFFFF"/>
              </w:rPr>
              <w:t xml:space="preserve">To improve my knowledge of the core areas of the law and practice relevant to the TCC </w:t>
            </w:r>
          </w:p>
          <w:p w:rsidR="007A6D8C" w:rsidRDefault="00962D2B">
            <w:pPr>
              <w:spacing w:line="256" w:lineRule="auto"/>
              <w:rPr>
                <w:rFonts w:ascii="Calibri" w:hAnsi="Calibri" w:cs="Arial"/>
                <w:b/>
                <w:shd w:val="clear" w:color="auto" w:fill="FFFFFF"/>
              </w:rPr>
            </w:pPr>
            <w:r>
              <w:rPr>
                <w:rFonts w:ascii="Calibri" w:hAnsi="Calibri" w:cs="Arial"/>
                <w:b/>
                <w:shd w:val="clear" w:color="auto" w:fill="FFFFFF"/>
              </w:rPr>
              <w:t>... [expand as per details in CPD programme]</w:t>
            </w:r>
          </w:p>
        </w:tc>
        <w:tc>
          <w:tcPr>
            <w:tcW w:w="4536" w:type="dxa"/>
            <w:shd w:val="clear" w:color="auto" w:fill="auto"/>
            <w:vAlign w:val="center"/>
          </w:tcPr>
          <w:p w:rsidR="007A6D8C" w:rsidRDefault="00962D2B">
            <w:pPr>
              <w:rPr>
                <w:rFonts w:ascii="Calibri" w:hAnsi="Calibri" w:cs="Arial"/>
                <w:shd w:val="clear" w:color="auto" w:fill="FFFFFF"/>
              </w:rPr>
            </w:pPr>
            <w:r>
              <w:rPr>
                <w:rFonts w:ascii="Calibri" w:hAnsi="Calibri" w:cs="Arial"/>
                <w:shd w:val="clear" w:color="auto" w:fill="FFFFFF"/>
              </w:rPr>
              <w:t xml:space="preserve">To enable me to maintain and further develop my competence and performance </w:t>
            </w:r>
          </w:p>
          <w:p w:rsidR="007A6D8C" w:rsidRDefault="00962D2B">
            <w:pPr>
              <w:rPr>
                <w:rFonts w:ascii="Calibri" w:hAnsi="Calibri" w:cs="Arial"/>
                <w:shd w:val="clear" w:color="auto" w:fill="FFFFFF"/>
              </w:rPr>
            </w:pPr>
            <w:r>
              <w:rPr>
                <w:rFonts w:ascii="Calibri" w:hAnsi="Calibri" w:cs="Arial"/>
                <w:shd w:val="clear" w:color="auto" w:fill="FFFFFF"/>
              </w:rPr>
              <w:t>in my core area of practice (BSB</w:t>
            </w:r>
            <w:r>
              <w:rPr>
                <w:rFonts w:ascii="Calibri" w:hAnsi="Calibri" w:cs="Arial"/>
                <w:shd w:val="clear" w:color="auto" w:fill="FFFFFF"/>
              </w:rPr>
              <w:t xml:space="preserve"> Handbook oC10, oC11, oC15)</w:t>
            </w:r>
          </w:p>
        </w:tc>
        <w:tc>
          <w:tcPr>
            <w:tcW w:w="4581" w:type="dxa"/>
            <w:shd w:val="clear" w:color="auto" w:fill="auto"/>
            <w:vAlign w:val="center"/>
          </w:tcPr>
          <w:p w:rsidR="007A6D8C" w:rsidRDefault="00962D2B">
            <w:pPr>
              <w:spacing w:line="256" w:lineRule="auto"/>
              <w:rPr>
                <w:rFonts w:ascii="Calibri" w:hAnsi="Calibri" w:cs="Arial"/>
                <w:shd w:val="clear" w:color="auto" w:fill="FFFFFF"/>
              </w:rPr>
            </w:pPr>
            <w:r>
              <w:rPr>
                <w:rFonts w:ascii="Calibri" w:hAnsi="Calibri" w:cs="Arial"/>
                <w:shd w:val="clear" w:color="auto" w:fill="FFFFFF"/>
              </w:rPr>
              <w:t>Attending the lectures, seminars and events organised by TECBAR [or other named specialist Bar Association/professional organisation]</w:t>
            </w:r>
          </w:p>
        </w:tc>
      </w:tr>
      <w:tr w:rsidR="007A6D8C">
        <w:trPr>
          <w:trHeight w:val="2016"/>
        </w:trPr>
        <w:tc>
          <w:tcPr>
            <w:tcW w:w="732" w:type="dxa"/>
            <w:shd w:val="clear" w:color="auto" w:fill="auto"/>
            <w:vAlign w:val="center"/>
          </w:tcPr>
          <w:p w:rsidR="007A6D8C" w:rsidRDefault="00962D2B">
            <w:pPr>
              <w:jc w:val="center"/>
              <w:rPr>
                <w:rFonts w:ascii="Calibri" w:hAnsi="Calibri" w:cs="Arial"/>
                <w:b/>
                <w:shd w:val="clear" w:color="auto" w:fill="FFFFFF"/>
              </w:rPr>
            </w:pPr>
            <w:r>
              <w:rPr>
                <w:rFonts w:ascii="Calibri" w:hAnsi="Calibri" w:cs="Arial"/>
                <w:b/>
                <w:shd w:val="clear" w:color="auto" w:fill="FFFFFF"/>
              </w:rPr>
              <w:t>B</w:t>
            </w:r>
          </w:p>
        </w:tc>
        <w:tc>
          <w:tcPr>
            <w:tcW w:w="3799" w:type="dxa"/>
            <w:shd w:val="clear" w:color="auto" w:fill="auto"/>
            <w:vAlign w:val="center"/>
          </w:tcPr>
          <w:p w:rsidR="007A6D8C" w:rsidRDefault="00962D2B">
            <w:pPr>
              <w:spacing w:line="256" w:lineRule="auto"/>
              <w:rPr>
                <w:rFonts w:ascii="Calibri" w:hAnsi="Calibri" w:cs="Arial"/>
                <w:b/>
                <w:shd w:val="clear" w:color="auto" w:fill="FFFFFF"/>
              </w:rPr>
            </w:pPr>
            <w:r>
              <w:rPr>
                <w:rFonts w:ascii="Calibri" w:hAnsi="Calibri" w:cs="Arial"/>
                <w:b/>
                <w:shd w:val="clear" w:color="auto" w:fill="FFFFFF"/>
              </w:rPr>
              <w:t xml:space="preserve">To keep abreast of recent developments in arbitration and adjudication law and practice in </w:t>
            </w:r>
            <w:r>
              <w:rPr>
                <w:rFonts w:ascii="Calibri" w:hAnsi="Calibri" w:cs="Arial"/>
                <w:b/>
                <w:shd w:val="clear" w:color="auto" w:fill="FFFFFF"/>
              </w:rPr>
              <w:t>the TCC and in adjudication enforcement proceedings</w:t>
            </w:r>
          </w:p>
          <w:p w:rsidR="007A6D8C" w:rsidRDefault="00962D2B">
            <w:pPr>
              <w:rPr>
                <w:rFonts w:ascii="Calibri" w:hAnsi="Calibri" w:cs="Arial"/>
                <w:b/>
                <w:shd w:val="clear" w:color="auto" w:fill="FFFFFF"/>
              </w:rPr>
            </w:pPr>
            <w:r>
              <w:rPr>
                <w:rFonts w:ascii="Calibri" w:hAnsi="Calibri" w:cs="Arial"/>
                <w:b/>
                <w:shd w:val="clear" w:color="auto" w:fill="FFFFFF"/>
              </w:rPr>
              <w:t>... [expand as per details in CPD programme]</w:t>
            </w:r>
          </w:p>
        </w:tc>
        <w:tc>
          <w:tcPr>
            <w:tcW w:w="4536" w:type="dxa"/>
            <w:shd w:val="clear" w:color="auto" w:fill="auto"/>
            <w:vAlign w:val="center"/>
          </w:tcPr>
          <w:p w:rsidR="007A6D8C" w:rsidRDefault="00962D2B">
            <w:pPr>
              <w:rPr>
                <w:rFonts w:ascii="Calibri" w:hAnsi="Calibri" w:cs="Arial"/>
                <w:shd w:val="clear" w:color="auto" w:fill="FFFFFF"/>
              </w:rPr>
            </w:pPr>
            <w:r>
              <w:rPr>
                <w:rFonts w:ascii="Calibri" w:hAnsi="Calibri" w:cs="Arial"/>
                <w:shd w:val="clear" w:color="auto" w:fill="FFFFFF"/>
              </w:rPr>
              <w:t>To ensure that my knowledge of arbitration and adjudication law and practice is kept up-to-date, regardless of the specific areas of law that I will be examini</w:t>
            </w:r>
            <w:r>
              <w:rPr>
                <w:rFonts w:ascii="Calibri" w:hAnsi="Calibri" w:cs="Arial"/>
                <w:shd w:val="clear" w:color="auto" w:fill="FFFFFF"/>
              </w:rPr>
              <w:t>ng as part of my everyday practice (BSB Handbook oC10, oC11, oC15)</w:t>
            </w:r>
          </w:p>
        </w:tc>
        <w:tc>
          <w:tcPr>
            <w:tcW w:w="4581" w:type="dxa"/>
            <w:shd w:val="clear" w:color="auto" w:fill="auto"/>
            <w:vAlign w:val="center"/>
          </w:tcPr>
          <w:p w:rsidR="007A6D8C" w:rsidRDefault="00962D2B">
            <w:pPr>
              <w:rPr>
                <w:rFonts w:ascii="Calibri" w:hAnsi="Calibri" w:cs="Arial"/>
                <w:shd w:val="clear" w:color="auto" w:fill="FFFFFF"/>
              </w:rPr>
            </w:pPr>
            <w:r>
              <w:rPr>
                <w:rFonts w:ascii="Calibri" w:hAnsi="Calibri" w:cs="Arial"/>
                <w:shd w:val="clear" w:color="auto" w:fill="FFFFFF"/>
              </w:rPr>
              <w:t>Attending the lectures, seminars and events organised by TECBAR [or other named specialist Bar Association/professional organisation]</w:t>
            </w:r>
          </w:p>
        </w:tc>
      </w:tr>
      <w:tr w:rsidR="007A6D8C">
        <w:trPr>
          <w:trHeight w:val="2016"/>
        </w:trPr>
        <w:tc>
          <w:tcPr>
            <w:tcW w:w="732" w:type="dxa"/>
            <w:shd w:val="clear" w:color="auto" w:fill="auto"/>
            <w:vAlign w:val="center"/>
          </w:tcPr>
          <w:p w:rsidR="007A6D8C" w:rsidRDefault="00962D2B">
            <w:pPr>
              <w:jc w:val="center"/>
              <w:rPr>
                <w:rFonts w:ascii="Calibri" w:hAnsi="Calibri" w:cs="Arial"/>
                <w:b/>
                <w:shd w:val="clear" w:color="auto" w:fill="FFFFFF"/>
              </w:rPr>
            </w:pPr>
            <w:r>
              <w:rPr>
                <w:rFonts w:ascii="Calibri" w:hAnsi="Calibri" w:cs="Arial"/>
                <w:b/>
                <w:shd w:val="clear" w:color="auto" w:fill="FFFFFF"/>
              </w:rPr>
              <w:t>C</w:t>
            </w:r>
          </w:p>
        </w:tc>
        <w:tc>
          <w:tcPr>
            <w:tcW w:w="3799" w:type="dxa"/>
            <w:shd w:val="clear" w:color="auto" w:fill="auto"/>
            <w:vAlign w:val="center"/>
          </w:tcPr>
          <w:p w:rsidR="007A6D8C" w:rsidRDefault="00962D2B">
            <w:pPr>
              <w:spacing w:line="256" w:lineRule="auto"/>
              <w:rPr>
                <w:rFonts w:ascii="Calibri" w:hAnsi="Calibri" w:cs="Arial"/>
                <w:b/>
                <w:highlight w:val="yellow"/>
                <w:shd w:val="clear" w:color="auto" w:fill="FFFFFF"/>
              </w:rPr>
            </w:pPr>
            <w:r>
              <w:rPr>
                <w:rFonts w:ascii="Calibri" w:hAnsi="Calibri" w:cs="Arial"/>
                <w:b/>
                <w:shd w:val="clear" w:color="auto" w:fill="FFFFFF"/>
              </w:rPr>
              <w:t>To understand and appreciate differences between con</w:t>
            </w:r>
            <w:r>
              <w:rPr>
                <w:rFonts w:ascii="Calibri" w:hAnsi="Calibri" w:cs="Arial"/>
                <w:b/>
                <w:shd w:val="clear" w:color="auto" w:fill="FFFFFF"/>
              </w:rPr>
              <w:t>struction law and practice in England and Wales and other international jurisdictions</w:t>
            </w:r>
          </w:p>
        </w:tc>
        <w:tc>
          <w:tcPr>
            <w:tcW w:w="4536" w:type="dxa"/>
            <w:shd w:val="clear" w:color="auto" w:fill="auto"/>
            <w:vAlign w:val="center"/>
          </w:tcPr>
          <w:p w:rsidR="007A6D8C" w:rsidRDefault="00962D2B">
            <w:pPr>
              <w:rPr>
                <w:rFonts w:ascii="Calibri" w:hAnsi="Calibri" w:cs="Arial"/>
                <w:shd w:val="clear" w:color="auto" w:fill="FFFFFF"/>
              </w:rPr>
            </w:pPr>
            <w:r>
              <w:rPr>
                <w:rFonts w:ascii="Calibri" w:hAnsi="Calibri" w:cs="Arial"/>
                <w:shd w:val="clear" w:color="auto" w:fill="FFFFFF"/>
              </w:rPr>
              <w:t>To ensure that I can provide the Court with relevant comparative law materials</w:t>
            </w:r>
          </w:p>
          <w:p w:rsidR="007A6D8C" w:rsidRDefault="00962D2B">
            <w:pPr>
              <w:rPr>
                <w:rFonts w:ascii="Calibri" w:hAnsi="Calibri" w:cs="Arial"/>
                <w:shd w:val="clear" w:color="auto" w:fill="FFFFFF"/>
              </w:rPr>
            </w:pPr>
            <w:r>
              <w:rPr>
                <w:rFonts w:ascii="Calibri" w:hAnsi="Calibri" w:cs="Arial"/>
                <w:shd w:val="clear" w:color="auto" w:fill="FFFFFF"/>
              </w:rPr>
              <w:t>To enable me to better understand the needs or expectations of my international clients</w:t>
            </w:r>
          </w:p>
          <w:p w:rsidR="007A6D8C" w:rsidRDefault="00962D2B">
            <w:pPr>
              <w:rPr>
                <w:rFonts w:ascii="Calibri" w:hAnsi="Calibri" w:cs="Arial"/>
                <w:shd w:val="clear" w:color="auto" w:fill="FFFFFF"/>
              </w:rPr>
            </w:pPr>
            <w:r>
              <w:rPr>
                <w:rFonts w:ascii="Calibri" w:hAnsi="Calibri" w:cs="Arial"/>
                <w:shd w:val="clear" w:color="auto" w:fill="FFFFFF"/>
              </w:rPr>
              <w:t>(BS</w:t>
            </w:r>
            <w:r>
              <w:rPr>
                <w:rFonts w:ascii="Calibri" w:hAnsi="Calibri" w:cs="Arial"/>
                <w:shd w:val="clear" w:color="auto" w:fill="FFFFFF"/>
              </w:rPr>
              <w:t>B Handbook oC10, oC11, oC13, oC15)</w:t>
            </w:r>
          </w:p>
        </w:tc>
        <w:tc>
          <w:tcPr>
            <w:tcW w:w="4581" w:type="dxa"/>
            <w:shd w:val="clear" w:color="auto" w:fill="auto"/>
            <w:vAlign w:val="center"/>
          </w:tcPr>
          <w:p w:rsidR="007A6D8C" w:rsidRDefault="00962D2B">
            <w:pPr>
              <w:spacing w:line="256" w:lineRule="auto"/>
              <w:rPr>
                <w:rFonts w:ascii="Calibri" w:hAnsi="Calibri" w:cs="Arial"/>
                <w:shd w:val="clear" w:color="auto" w:fill="FFFFFF"/>
              </w:rPr>
            </w:pPr>
            <w:r>
              <w:rPr>
                <w:rFonts w:ascii="Calibri" w:hAnsi="Calibri" w:cs="Arial"/>
                <w:shd w:val="clear" w:color="auto" w:fill="FFFFFF"/>
              </w:rPr>
              <w:t>Attending events arranged by TECBAR [or other named specialist Bar Association/ professional organisation]</w:t>
            </w:r>
          </w:p>
        </w:tc>
      </w:tr>
    </w:tbl>
    <w:p w:rsidR="007A6D8C" w:rsidRDefault="00962D2B">
      <w:pPr>
        <w:rPr>
          <w:rFonts w:cs="Arial"/>
          <w:b/>
          <w:sz w:val="32"/>
          <w:szCs w:val="32"/>
        </w:rPr>
      </w:pPr>
      <w:r>
        <w:rPr>
          <w:rFonts w:cs="Arial"/>
          <w:b/>
          <w:sz w:val="32"/>
          <w:szCs w:val="32"/>
        </w:rPr>
        <w:br w:type="page"/>
        <w:t>Record of Activity</w:t>
      </w:r>
    </w:p>
    <w:tbl>
      <w:tblPr>
        <w:tblW w:w="138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1246"/>
        <w:gridCol w:w="1493"/>
        <w:gridCol w:w="1323"/>
        <w:gridCol w:w="1502"/>
        <w:gridCol w:w="1550"/>
        <w:gridCol w:w="1701"/>
        <w:gridCol w:w="1697"/>
        <w:gridCol w:w="996"/>
      </w:tblGrid>
      <w:tr w:rsidR="007A6D8C">
        <w:trPr>
          <w:trHeight w:val="2266"/>
        </w:trPr>
        <w:tc>
          <w:tcPr>
            <w:tcW w:w="2350" w:type="dxa"/>
            <w:shd w:val="clear" w:color="auto" w:fill="DEEAF6"/>
            <w:vAlign w:val="center"/>
          </w:tcPr>
          <w:p w:rsidR="007A6D8C" w:rsidRDefault="00962D2B">
            <w:pPr>
              <w:jc w:val="center"/>
              <w:rPr>
                <w:rFonts w:ascii="Calibri" w:hAnsi="Calibri" w:cs="Arial"/>
                <w:b/>
              </w:rPr>
            </w:pPr>
            <w:r>
              <w:rPr>
                <w:rFonts w:ascii="Calibri" w:hAnsi="Calibri" w:cs="Arial"/>
                <w:b/>
              </w:rPr>
              <w:t>Title of CPD activity</w:t>
            </w:r>
          </w:p>
        </w:tc>
        <w:tc>
          <w:tcPr>
            <w:tcW w:w="1246" w:type="dxa"/>
            <w:shd w:val="clear" w:color="auto" w:fill="DEEAF6"/>
            <w:vAlign w:val="center"/>
          </w:tcPr>
          <w:p w:rsidR="007A6D8C" w:rsidRDefault="00962D2B">
            <w:pPr>
              <w:jc w:val="center"/>
              <w:rPr>
                <w:rFonts w:ascii="Calibri" w:hAnsi="Calibri" w:cs="Arial"/>
                <w:b/>
              </w:rPr>
            </w:pPr>
            <w:r>
              <w:rPr>
                <w:rFonts w:ascii="Calibri" w:hAnsi="Calibri" w:cs="Arial"/>
                <w:b/>
              </w:rPr>
              <w:t>Date</w:t>
            </w:r>
          </w:p>
        </w:tc>
        <w:tc>
          <w:tcPr>
            <w:tcW w:w="1493" w:type="dxa"/>
            <w:shd w:val="clear" w:color="auto" w:fill="DEEAF6"/>
            <w:vAlign w:val="center"/>
          </w:tcPr>
          <w:p w:rsidR="007A6D8C" w:rsidRDefault="00962D2B">
            <w:pPr>
              <w:jc w:val="center"/>
              <w:rPr>
                <w:rFonts w:ascii="Calibri" w:hAnsi="Calibri" w:cs="Arial"/>
                <w:b/>
              </w:rPr>
            </w:pPr>
            <w:r>
              <w:rPr>
                <w:rFonts w:ascii="Calibri" w:hAnsi="Calibri" w:cs="Arial"/>
                <w:b/>
              </w:rPr>
              <w:t>CPD provider</w:t>
            </w:r>
          </w:p>
        </w:tc>
        <w:tc>
          <w:tcPr>
            <w:tcW w:w="1323" w:type="dxa"/>
            <w:shd w:val="clear" w:color="auto" w:fill="DEEAF6"/>
            <w:vAlign w:val="center"/>
          </w:tcPr>
          <w:p w:rsidR="007A6D8C" w:rsidRDefault="00962D2B">
            <w:pPr>
              <w:jc w:val="center"/>
              <w:rPr>
                <w:rFonts w:ascii="Calibri" w:hAnsi="Calibri" w:cs="Arial"/>
                <w:b/>
              </w:rPr>
            </w:pPr>
            <w:r>
              <w:rPr>
                <w:rFonts w:ascii="Calibri" w:hAnsi="Calibri" w:cs="Arial"/>
                <w:b/>
              </w:rPr>
              <w:t>CPD type</w:t>
            </w:r>
          </w:p>
        </w:tc>
        <w:tc>
          <w:tcPr>
            <w:tcW w:w="1502" w:type="dxa"/>
            <w:shd w:val="clear" w:color="auto" w:fill="DEEAF6"/>
            <w:vAlign w:val="center"/>
          </w:tcPr>
          <w:p w:rsidR="007A6D8C" w:rsidRDefault="00962D2B">
            <w:pPr>
              <w:jc w:val="center"/>
              <w:rPr>
                <w:rFonts w:ascii="Calibri" w:hAnsi="Calibri" w:cs="Arial"/>
                <w:b/>
              </w:rPr>
            </w:pPr>
            <w:r>
              <w:rPr>
                <w:rFonts w:ascii="Calibri" w:hAnsi="Calibri" w:cs="Arial"/>
                <w:b/>
              </w:rPr>
              <w:t>Learning objective(s) to which this activity</w:t>
            </w:r>
            <w:r>
              <w:rPr>
                <w:rFonts w:ascii="Calibri" w:hAnsi="Calibri" w:cs="Arial"/>
                <w:b/>
              </w:rPr>
              <w:t xml:space="preserve"> relates</w:t>
            </w:r>
          </w:p>
        </w:tc>
        <w:tc>
          <w:tcPr>
            <w:tcW w:w="1550" w:type="dxa"/>
            <w:shd w:val="clear" w:color="auto" w:fill="DEEAF6"/>
            <w:vAlign w:val="center"/>
          </w:tcPr>
          <w:p w:rsidR="007A6D8C" w:rsidRDefault="00962D2B">
            <w:pPr>
              <w:jc w:val="center"/>
              <w:rPr>
                <w:rFonts w:ascii="Calibri" w:hAnsi="Calibri" w:cs="Arial"/>
                <w:b/>
              </w:rPr>
            </w:pPr>
            <w:r>
              <w:rPr>
                <w:rFonts w:ascii="Calibri" w:hAnsi="Calibri" w:cs="Arial"/>
                <w:b/>
              </w:rPr>
              <w:t>Did this activity help meet the learning objective?</w:t>
            </w:r>
          </w:p>
          <w:p w:rsidR="007A6D8C" w:rsidRDefault="007A6D8C">
            <w:pPr>
              <w:jc w:val="center"/>
              <w:rPr>
                <w:rFonts w:ascii="Calibri" w:hAnsi="Calibri" w:cs="Arial"/>
                <w:b/>
              </w:rPr>
            </w:pPr>
          </w:p>
          <w:p w:rsidR="007A6D8C" w:rsidRDefault="00962D2B">
            <w:pPr>
              <w:jc w:val="center"/>
              <w:rPr>
                <w:rFonts w:ascii="Calibri" w:hAnsi="Calibri" w:cs="Arial"/>
                <w:b/>
              </w:rPr>
            </w:pPr>
            <w:r>
              <w:rPr>
                <w:rFonts w:ascii="Calibri" w:hAnsi="Calibri" w:cs="Arial"/>
                <w:b/>
              </w:rPr>
              <w:t>Y/N</w:t>
            </w:r>
          </w:p>
        </w:tc>
        <w:tc>
          <w:tcPr>
            <w:tcW w:w="1701" w:type="dxa"/>
            <w:shd w:val="clear" w:color="auto" w:fill="DEEAF6"/>
            <w:vAlign w:val="center"/>
          </w:tcPr>
          <w:p w:rsidR="007A6D8C" w:rsidRDefault="00962D2B">
            <w:pPr>
              <w:jc w:val="center"/>
              <w:rPr>
                <w:rFonts w:ascii="Calibri" w:hAnsi="Calibri" w:cs="Arial"/>
                <w:b/>
              </w:rPr>
            </w:pPr>
            <w:r>
              <w:rPr>
                <w:rFonts w:ascii="Calibri" w:hAnsi="Calibri" w:cs="Arial"/>
                <w:b/>
              </w:rPr>
              <w:t>Do you consider this learning objective is now complete?</w:t>
            </w:r>
          </w:p>
          <w:p w:rsidR="007A6D8C" w:rsidRDefault="007A6D8C">
            <w:pPr>
              <w:jc w:val="center"/>
              <w:rPr>
                <w:rFonts w:ascii="Calibri" w:hAnsi="Calibri" w:cs="Arial"/>
                <w:b/>
              </w:rPr>
            </w:pPr>
          </w:p>
          <w:p w:rsidR="007A6D8C" w:rsidRDefault="00962D2B">
            <w:pPr>
              <w:jc w:val="center"/>
              <w:rPr>
                <w:rFonts w:ascii="Calibri" w:hAnsi="Calibri" w:cs="Arial"/>
                <w:b/>
              </w:rPr>
            </w:pPr>
            <w:r>
              <w:rPr>
                <w:rFonts w:ascii="Calibri" w:hAnsi="Calibri" w:cs="Arial"/>
                <w:b/>
              </w:rPr>
              <w:t>Y/N/Partially</w:t>
            </w:r>
          </w:p>
        </w:tc>
        <w:tc>
          <w:tcPr>
            <w:tcW w:w="1697" w:type="dxa"/>
            <w:shd w:val="clear" w:color="auto" w:fill="DEEAF6"/>
            <w:vAlign w:val="center"/>
          </w:tcPr>
          <w:p w:rsidR="007A6D8C" w:rsidRDefault="00962D2B">
            <w:pPr>
              <w:jc w:val="center"/>
              <w:rPr>
                <w:rFonts w:ascii="Calibri" w:hAnsi="Calibri" w:cs="Arial"/>
                <w:b/>
              </w:rPr>
            </w:pPr>
            <w:r>
              <w:rPr>
                <w:rFonts w:ascii="Calibri" w:hAnsi="Calibri" w:cs="Arial"/>
                <w:b/>
              </w:rPr>
              <w:t>Can this activity be evidenced if you are spot checked?</w:t>
            </w:r>
          </w:p>
          <w:p w:rsidR="007A6D8C" w:rsidRDefault="007A6D8C">
            <w:pPr>
              <w:jc w:val="center"/>
              <w:rPr>
                <w:rFonts w:ascii="Calibri" w:hAnsi="Calibri" w:cs="Arial"/>
                <w:b/>
              </w:rPr>
            </w:pPr>
          </w:p>
          <w:p w:rsidR="007A6D8C" w:rsidRDefault="00962D2B">
            <w:pPr>
              <w:jc w:val="center"/>
              <w:rPr>
                <w:rFonts w:ascii="Calibri" w:hAnsi="Calibri" w:cs="Arial"/>
                <w:b/>
              </w:rPr>
            </w:pPr>
            <w:r>
              <w:rPr>
                <w:rFonts w:ascii="Calibri" w:hAnsi="Calibri" w:cs="Arial"/>
                <w:b/>
              </w:rPr>
              <w:t>Y/N</w:t>
            </w:r>
          </w:p>
        </w:tc>
        <w:tc>
          <w:tcPr>
            <w:tcW w:w="996" w:type="dxa"/>
            <w:shd w:val="clear" w:color="auto" w:fill="DEEAF6"/>
            <w:vAlign w:val="center"/>
          </w:tcPr>
          <w:p w:rsidR="007A6D8C" w:rsidRDefault="00962D2B">
            <w:pPr>
              <w:jc w:val="center"/>
              <w:rPr>
                <w:rFonts w:ascii="Calibri" w:hAnsi="Calibri" w:cs="Arial"/>
                <w:b/>
              </w:rPr>
            </w:pPr>
            <w:r>
              <w:rPr>
                <w:rFonts w:ascii="Calibri" w:hAnsi="Calibri" w:cs="Arial"/>
                <w:b/>
              </w:rPr>
              <w:t>Hours spent on this activity*</w:t>
            </w:r>
          </w:p>
          <w:p w:rsidR="007A6D8C" w:rsidRDefault="007A6D8C">
            <w:pPr>
              <w:jc w:val="center"/>
              <w:rPr>
                <w:rFonts w:ascii="Calibri" w:hAnsi="Calibri" w:cs="Arial"/>
              </w:rPr>
            </w:pPr>
          </w:p>
        </w:tc>
      </w:tr>
      <w:tr w:rsidR="007A6D8C">
        <w:trPr>
          <w:trHeight w:val="509"/>
        </w:trPr>
        <w:tc>
          <w:tcPr>
            <w:tcW w:w="2350" w:type="dxa"/>
            <w:shd w:val="clear" w:color="auto" w:fill="auto"/>
          </w:tcPr>
          <w:p w:rsidR="007A6D8C" w:rsidRDefault="007A6D8C">
            <w:pPr>
              <w:rPr>
                <w:rFonts w:ascii="Calibri" w:hAnsi="Calibri" w:cs="Arial"/>
                <w:shd w:val="clear" w:color="auto" w:fill="FFFFFF"/>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09"/>
        </w:trPr>
        <w:tc>
          <w:tcPr>
            <w:tcW w:w="2350" w:type="dxa"/>
            <w:shd w:val="clear" w:color="auto" w:fill="auto"/>
          </w:tcPr>
          <w:p w:rsidR="007A6D8C" w:rsidRDefault="007A6D8C">
            <w:pPr>
              <w:rPr>
                <w:rFonts w:ascii="Calibri" w:hAnsi="Calibri" w:cs="Arial"/>
                <w:shd w:val="clear" w:color="auto" w:fill="FFFFFF"/>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09"/>
        </w:trPr>
        <w:tc>
          <w:tcPr>
            <w:tcW w:w="2350" w:type="dxa"/>
            <w:shd w:val="clear" w:color="auto" w:fill="auto"/>
          </w:tcPr>
          <w:p w:rsidR="007A6D8C" w:rsidRDefault="007A6D8C">
            <w:pPr>
              <w:rPr>
                <w:rFonts w:ascii="Calibri" w:hAnsi="Calibri" w:cs="Arial"/>
                <w:shd w:val="clear" w:color="auto" w:fill="FFFFFF"/>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52"/>
        </w:trPr>
        <w:tc>
          <w:tcPr>
            <w:tcW w:w="2350" w:type="dxa"/>
            <w:shd w:val="clear" w:color="auto" w:fill="auto"/>
          </w:tcPr>
          <w:p w:rsidR="007A6D8C" w:rsidRDefault="007A6D8C">
            <w:pPr>
              <w:rPr>
                <w:rFonts w:ascii="Calibri" w:hAnsi="Calibri" w:cs="Arial"/>
                <w:b/>
                <w:u w:val="single"/>
                <w:shd w:val="clear" w:color="auto" w:fill="FFFFFF"/>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52"/>
        </w:trPr>
        <w:tc>
          <w:tcPr>
            <w:tcW w:w="2350" w:type="dxa"/>
            <w:shd w:val="clear" w:color="auto" w:fill="auto"/>
          </w:tcPr>
          <w:p w:rsidR="007A6D8C" w:rsidRDefault="007A6D8C">
            <w:pPr>
              <w:rPr>
                <w:rFonts w:ascii="Calibri" w:hAnsi="Calibri" w:cs="Arial"/>
                <w:b/>
                <w:u w:val="single"/>
                <w:shd w:val="clear" w:color="auto" w:fill="FFFFFF"/>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52"/>
        </w:trPr>
        <w:tc>
          <w:tcPr>
            <w:tcW w:w="2350" w:type="dxa"/>
            <w:shd w:val="clear" w:color="auto" w:fill="auto"/>
          </w:tcPr>
          <w:p w:rsidR="007A6D8C" w:rsidRDefault="007A6D8C">
            <w:pPr>
              <w:rPr>
                <w:rFonts w:ascii="Calibri" w:hAnsi="Calibri" w:cs="Arial"/>
                <w:b/>
                <w:u w:val="single"/>
                <w:shd w:val="clear" w:color="auto" w:fill="FFFFFF"/>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52"/>
        </w:trPr>
        <w:tc>
          <w:tcPr>
            <w:tcW w:w="2350" w:type="dxa"/>
            <w:shd w:val="clear" w:color="auto" w:fill="auto"/>
          </w:tcPr>
          <w:p w:rsidR="007A6D8C" w:rsidRDefault="007A6D8C">
            <w:pPr>
              <w:rPr>
                <w:rFonts w:ascii="Calibri" w:hAnsi="Calibri" w:cs="Arial"/>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b/>
                <w:u w:val="single"/>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b/>
                <w:shd w:val="clear" w:color="auto" w:fill="FFFFFF"/>
              </w:rPr>
            </w:pPr>
          </w:p>
        </w:tc>
        <w:tc>
          <w:tcPr>
            <w:tcW w:w="1701" w:type="dxa"/>
            <w:shd w:val="clear" w:color="auto" w:fill="auto"/>
          </w:tcPr>
          <w:p w:rsidR="007A6D8C" w:rsidRDefault="007A6D8C">
            <w:pPr>
              <w:rPr>
                <w:rFonts w:ascii="Calibri" w:hAnsi="Calibri" w:cs="Arial"/>
                <w:b/>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52"/>
        </w:trPr>
        <w:tc>
          <w:tcPr>
            <w:tcW w:w="2350" w:type="dxa"/>
            <w:shd w:val="clear" w:color="auto" w:fill="auto"/>
          </w:tcPr>
          <w:p w:rsidR="007A6D8C" w:rsidRDefault="007A6D8C">
            <w:pPr>
              <w:rPr>
                <w:rFonts w:ascii="Calibri" w:hAnsi="Calibri" w:cs="Arial"/>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52"/>
        </w:trPr>
        <w:tc>
          <w:tcPr>
            <w:tcW w:w="2350" w:type="dxa"/>
            <w:shd w:val="clear" w:color="auto" w:fill="auto"/>
          </w:tcPr>
          <w:p w:rsidR="007A6D8C" w:rsidRDefault="007A6D8C">
            <w:pPr>
              <w:rPr>
                <w:rFonts w:ascii="Calibri" w:hAnsi="Calibri" w:cs="Arial"/>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b/>
                <w:u w:val="single"/>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r w:rsidR="007A6D8C">
        <w:trPr>
          <w:trHeight w:val="552"/>
        </w:trPr>
        <w:tc>
          <w:tcPr>
            <w:tcW w:w="2350" w:type="dxa"/>
            <w:shd w:val="clear" w:color="auto" w:fill="auto"/>
          </w:tcPr>
          <w:p w:rsidR="007A6D8C" w:rsidRDefault="007A6D8C">
            <w:pPr>
              <w:rPr>
                <w:rFonts w:ascii="Calibri" w:hAnsi="Calibri" w:cs="Arial"/>
              </w:rPr>
            </w:pPr>
          </w:p>
        </w:tc>
        <w:tc>
          <w:tcPr>
            <w:tcW w:w="1246" w:type="dxa"/>
            <w:shd w:val="clear" w:color="auto" w:fill="auto"/>
          </w:tcPr>
          <w:p w:rsidR="007A6D8C" w:rsidRDefault="007A6D8C">
            <w:pPr>
              <w:rPr>
                <w:rFonts w:ascii="Calibri" w:hAnsi="Calibri" w:cs="Arial"/>
                <w:shd w:val="clear" w:color="auto" w:fill="FFFFFF"/>
              </w:rPr>
            </w:pPr>
          </w:p>
        </w:tc>
        <w:tc>
          <w:tcPr>
            <w:tcW w:w="1493" w:type="dxa"/>
            <w:shd w:val="clear" w:color="auto" w:fill="auto"/>
          </w:tcPr>
          <w:p w:rsidR="007A6D8C" w:rsidRDefault="007A6D8C">
            <w:pPr>
              <w:rPr>
                <w:rFonts w:ascii="Calibri" w:hAnsi="Calibri" w:cs="Arial"/>
                <w:shd w:val="clear" w:color="auto" w:fill="FFFFFF"/>
              </w:rPr>
            </w:pPr>
          </w:p>
        </w:tc>
        <w:tc>
          <w:tcPr>
            <w:tcW w:w="1323" w:type="dxa"/>
            <w:shd w:val="clear" w:color="auto" w:fill="auto"/>
          </w:tcPr>
          <w:p w:rsidR="007A6D8C" w:rsidRDefault="007A6D8C">
            <w:pPr>
              <w:rPr>
                <w:rFonts w:ascii="Calibri" w:hAnsi="Calibri" w:cs="Arial"/>
                <w:shd w:val="clear" w:color="auto" w:fill="FFFFFF"/>
              </w:rPr>
            </w:pPr>
          </w:p>
        </w:tc>
        <w:tc>
          <w:tcPr>
            <w:tcW w:w="1502" w:type="dxa"/>
            <w:shd w:val="clear" w:color="auto" w:fill="auto"/>
          </w:tcPr>
          <w:p w:rsidR="007A6D8C" w:rsidRDefault="007A6D8C">
            <w:pPr>
              <w:rPr>
                <w:rFonts w:ascii="Calibri" w:hAnsi="Calibri" w:cs="Arial"/>
                <w:shd w:val="clear" w:color="auto" w:fill="FFFFFF"/>
              </w:rPr>
            </w:pPr>
          </w:p>
        </w:tc>
        <w:tc>
          <w:tcPr>
            <w:tcW w:w="1550" w:type="dxa"/>
            <w:shd w:val="clear" w:color="auto" w:fill="auto"/>
          </w:tcPr>
          <w:p w:rsidR="007A6D8C" w:rsidRDefault="007A6D8C">
            <w:pPr>
              <w:rPr>
                <w:rFonts w:ascii="Calibri" w:hAnsi="Calibri" w:cs="Arial"/>
                <w:shd w:val="clear" w:color="auto" w:fill="FFFFFF"/>
              </w:rPr>
            </w:pPr>
          </w:p>
        </w:tc>
        <w:tc>
          <w:tcPr>
            <w:tcW w:w="1701" w:type="dxa"/>
            <w:shd w:val="clear" w:color="auto" w:fill="auto"/>
          </w:tcPr>
          <w:p w:rsidR="007A6D8C" w:rsidRDefault="007A6D8C">
            <w:pPr>
              <w:rPr>
                <w:rFonts w:ascii="Calibri" w:hAnsi="Calibri" w:cs="Arial"/>
                <w:shd w:val="clear" w:color="auto" w:fill="FFFFFF"/>
              </w:rPr>
            </w:pPr>
          </w:p>
        </w:tc>
        <w:tc>
          <w:tcPr>
            <w:tcW w:w="1697" w:type="dxa"/>
            <w:shd w:val="clear" w:color="auto" w:fill="auto"/>
          </w:tcPr>
          <w:p w:rsidR="007A6D8C" w:rsidRDefault="007A6D8C">
            <w:pPr>
              <w:rPr>
                <w:rFonts w:ascii="Calibri" w:hAnsi="Calibri" w:cs="Arial"/>
                <w:shd w:val="clear" w:color="auto" w:fill="FFFFFF"/>
              </w:rPr>
            </w:pPr>
          </w:p>
        </w:tc>
        <w:tc>
          <w:tcPr>
            <w:tcW w:w="996" w:type="dxa"/>
            <w:shd w:val="clear" w:color="auto" w:fill="auto"/>
          </w:tcPr>
          <w:p w:rsidR="007A6D8C" w:rsidRDefault="007A6D8C">
            <w:pPr>
              <w:rPr>
                <w:rFonts w:ascii="Calibri" w:hAnsi="Calibri" w:cs="Arial"/>
                <w:shd w:val="clear" w:color="auto" w:fill="FFFFFF"/>
              </w:rPr>
            </w:pPr>
          </w:p>
        </w:tc>
      </w:tr>
    </w:tbl>
    <w:p w:rsidR="007A6D8C" w:rsidRDefault="00962D2B">
      <w:pPr>
        <w:rPr>
          <w:rFonts w:cs="Arial"/>
        </w:rPr>
      </w:pPr>
      <w:r>
        <w:rPr>
          <w:rFonts w:cs="Arial"/>
        </w:rPr>
        <w:t>*NB There is no minimum number of hours.  However this is useful indicative information for the BSB.</w:t>
      </w:r>
    </w:p>
    <w:p w:rsidR="007A6D8C" w:rsidRDefault="00962D2B">
      <w:pPr>
        <w:rPr>
          <w:rFonts w:cs="Arial"/>
          <w:b/>
          <w:sz w:val="32"/>
          <w:szCs w:val="32"/>
        </w:rPr>
      </w:pPr>
      <w:r>
        <w:rPr>
          <w:rFonts w:cs="Arial"/>
          <w:b/>
          <w:sz w:val="32"/>
          <w:szCs w:val="32"/>
        </w:rPr>
        <w:br w:type="page"/>
        <w:t xml:space="preserve">Reflection </w:t>
      </w: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2"/>
      </w:tblGrid>
      <w:tr w:rsidR="007A6D8C">
        <w:trPr>
          <w:trHeight w:val="565"/>
        </w:trPr>
        <w:tc>
          <w:tcPr>
            <w:tcW w:w="14142" w:type="dxa"/>
            <w:shd w:val="clear" w:color="auto" w:fill="E2EFD9"/>
          </w:tcPr>
          <w:p w:rsidR="007A6D8C" w:rsidRDefault="00962D2B">
            <w:pPr>
              <w:rPr>
                <w:rFonts w:ascii="Calibri" w:hAnsi="Calibri" w:cs="Arial"/>
                <w:b/>
              </w:rPr>
            </w:pPr>
            <w:r>
              <w:rPr>
                <w:rFonts w:ascii="Calibri" w:hAnsi="Calibri" w:cs="Arial"/>
                <w:b/>
              </w:rPr>
              <w:t xml:space="preserve">Did you need to vary your learning objectives during the year?  </w:t>
            </w:r>
            <w:r>
              <w:rPr>
                <w:rFonts w:ascii="Calibri" w:hAnsi="Calibri" w:cs="Arial"/>
                <w:b/>
              </w:rPr>
              <w:t>This includes adding, removing or amending learning objectives.  If so, please provide details.</w:t>
            </w:r>
          </w:p>
          <w:p w:rsidR="007A6D8C" w:rsidRDefault="007A6D8C">
            <w:pPr>
              <w:rPr>
                <w:rFonts w:ascii="Calibri" w:hAnsi="Calibri" w:cs="Arial"/>
              </w:rPr>
            </w:pPr>
          </w:p>
        </w:tc>
      </w:tr>
      <w:tr w:rsidR="007A6D8C">
        <w:tc>
          <w:tcPr>
            <w:tcW w:w="14142" w:type="dxa"/>
            <w:shd w:val="clear" w:color="auto" w:fill="auto"/>
          </w:tcPr>
          <w:p w:rsidR="007A6D8C" w:rsidRDefault="007A6D8C">
            <w:pPr>
              <w:rPr>
                <w:rFonts w:ascii="Calibri" w:hAnsi="Calibri" w:cs="Arial"/>
                <w:b/>
              </w:rPr>
            </w:pPr>
          </w:p>
          <w:p w:rsidR="007A6D8C" w:rsidRDefault="007A6D8C">
            <w:pPr>
              <w:rPr>
                <w:rFonts w:ascii="Calibri" w:hAnsi="Calibri" w:cs="Arial"/>
                <w:b/>
              </w:rPr>
            </w:pPr>
          </w:p>
        </w:tc>
      </w:tr>
      <w:tr w:rsidR="007A6D8C">
        <w:tc>
          <w:tcPr>
            <w:tcW w:w="14142" w:type="dxa"/>
            <w:shd w:val="clear" w:color="auto" w:fill="E2EFD9"/>
          </w:tcPr>
          <w:p w:rsidR="007A6D8C" w:rsidRDefault="00962D2B">
            <w:pPr>
              <w:rPr>
                <w:rFonts w:ascii="Calibri" w:hAnsi="Calibri" w:cs="Arial"/>
                <w:b/>
              </w:rPr>
            </w:pPr>
            <w:r>
              <w:rPr>
                <w:rFonts w:ascii="Calibri" w:hAnsi="Calibri" w:cs="Arial"/>
                <w:b/>
              </w:rPr>
              <w:t>Which learning objectives have been met, either fully or partially? Evaluate how your activities have contributed to your chosen areas for development.</w:t>
            </w:r>
          </w:p>
          <w:p w:rsidR="007A6D8C" w:rsidRDefault="007A6D8C">
            <w:pPr>
              <w:rPr>
                <w:rFonts w:ascii="Calibri" w:hAnsi="Calibri" w:cs="Arial"/>
                <w:b/>
              </w:rPr>
            </w:pPr>
          </w:p>
        </w:tc>
      </w:tr>
      <w:tr w:rsidR="007A6D8C">
        <w:tc>
          <w:tcPr>
            <w:tcW w:w="14142" w:type="dxa"/>
            <w:shd w:val="clear" w:color="auto" w:fill="auto"/>
          </w:tcPr>
          <w:p w:rsidR="007A6D8C" w:rsidRDefault="007A6D8C">
            <w:pPr>
              <w:rPr>
                <w:rFonts w:ascii="Calibri" w:hAnsi="Calibri" w:cs="Arial"/>
                <w:b/>
              </w:rPr>
            </w:pPr>
          </w:p>
          <w:p w:rsidR="007A6D8C" w:rsidRDefault="007A6D8C">
            <w:pPr>
              <w:rPr>
                <w:rFonts w:ascii="Calibri" w:hAnsi="Calibri" w:cs="Arial"/>
                <w:b/>
              </w:rPr>
            </w:pPr>
          </w:p>
        </w:tc>
      </w:tr>
      <w:tr w:rsidR="007A6D8C">
        <w:tc>
          <w:tcPr>
            <w:tcW w:w="14142" w:type="dxa"/>
            <w:shd w:val="clear" w:color="auto" w:fill="E2EFD9"/>
          </w:tcPr>
          <w:p w:rsidR="007A6D8C" w:rsidRDefault="00962D2B">
            <w:pPr>
              <w:rPr>
                <w:rFonts w:ascii="Calibri" w:hAnsi="Calibri" w:cs="Arial"/>
                <w:b/>
              </w:rPr>
            </w:pPr>
            <w:r>
              <w:rPr>
                <w:rFonts w:ascii="Calibri" w:hAnsi="Calibri" w:cs="Arial"/>
                <w:b/>
              </w:rPr>
              <w:t xml:space="preserve">Which learning objectives have not been met? Provide an evaluation as to why this was the case. </w:t>
            </w:r>
          </w:p>
          <w:p w:rsidR="007A6D8C" w:rsidRDefault="007A6D8C">
            <w:pPr>
              <w:rPr>
                <w:rFonts w:ascii="Calibri" w:hAnsi="Calibri" w:cs="Arial"/>
                <w:b/>
              </w:rPr>
            </w:pPr>
          </w:p>
        </w:tc>
      </w:tr>
      <w:tr w:rsidR="007A6D8C">
        <w:tc>
          <w:tcPr>
            <w:tcW w:w="14142" w:type="dxa"/>
            <w:shd w:val="clear" w:color="auto" w:fill="auto"/>
          </w:tcPr>
          <w:p w:rsidR="007A6D8C" w:rsidRDefault="007A6D8C">
            <w:pPr>
              <w:rPr>
                <w:rFonts w:ascii="Calibri" w:hAnsi="Calibri" w:cs="Arial"/>
                <w:b/>
              </w:rPr>
            </w:pPr>
          </w:p>
          <w:p w:rsidR="007A6D8C" w:rsidRDefault="007A6D8C">
            <w:pPr>
              <w:rPr>
                <w:rFonts w:ascii="Calibri" w:hAnsi="Calibri" w:cs="Arial"/>
                <w:b/>
              </w:rPr>
            </w:pPr>
          </w:p>
        </w:tc>
      </w:tr>
      <w:tr w:rsidR="007A6D8C">
        <w:tc>
          <w:tcPr>
            <w:tcW w:w="14142" w:type="dxa"/>
            <w:shd w:val="clear" w:color="auto" w:fill="E2EFD9"/>
          </w:tcPr>
          <w:p w:rsidR="007A6D8C" w:rsidRDefault="00962D2B">
            <w:pPr>
              <w:rPr>
                <w:rFonts w:ascii="Calibri" w:hAnsi="Calibri" w:cs="Arial"/>
                <w:b/>
              </w:rPr>
            </w:pPr>
            <w:r>
              <w:rPr>
                <w:rFonts w:ascii="Calibri" w:hAnsi="Calibri" w:cs="Arial"/>
                <w:b/>
              </w:rPr>
              <w:t>Which relevant learning objectives are outstanding?  How do you intend to complete these learning objectives in the future?</w:t>
            </w:r>
          </w:p>
          <w:p w:rsidR="007A6D8C" w:rsidRDefault="007A6D8C">
            <w:pPr>
              <w:rPr>
                <w:rFonts w:ascii="Calibri" w:hAnsi="Calibri" w:cs="Arial"/>
                <w:b/>
              </w:rPr>
            </w:pPr>
          </w:p>
        </w:tc>
      </w:tr>
      <w:tr w:rsidR="007A6D8C">
        <w:tc>
          <w:tcPr>
            <w:tcW w:w="14142" w:type="dxa"/>
            <w:shd w:val="clear" w:color="auto" w:fill="auto"/>
          </w:tcPr>
          <w:p w:rsidR="007A6D8C" w:rsidRDefault="007A6D8C">
            <w:pPr>
              <w:rPr>
                <w:rFonts w:ascii="Calibri" w:hAnsi="Calibri" w:cs="Arial"/>
                <w:b/>
              </w:rPr>
            </w:pPr>
          </w:p>
          <w:p w:rsidR="007A6D8C" w:rsidRDefault="007A6D8C">
            <w:pPr>
              <w:rPr>
                <w:rFonts w:ascii="Calibri" w:hAnsi="Calibri" w:cs="Arial"/>
                <w:b/>
              </w:rPr>
            </w:pPr>
          </w:p>
        </w:tc>
      </w:tr>
      <w:tr w:rsidR="007A6D8C">
        <w:tc>
          <w:tcPr>
            <w:tcW w:w="14142" w:type="dxa"/>
            <w:shd w:val="clear" w:color="auto" w:fill="E2EFD9"/>
          </w:tcPr>
          <w:p w:rsidR="007A6D8C" w:rsidRDefault="00962D2B">
            <w:pPr>
              <w:rPr>
                <w:rFonts w:ascii="Calibri" w:hAnsi="Calibri" w:cs="Arial"/>
                <w:b/>
              </w:rPr>
            </w:pPr>
            <w:r>
              <w:rPr>
                <w:rFonts w:ascii="Calibri" w:hAnsi="Calibri" w:cs="Arial"/>
                <w:b/>
              </w:rPr>
              <w:t>Did the type and nature</w:t>
            </w:r>
            <w:r>
              <w:rPr>
                <w:rFonts w:ascii="Calibri" w:hAnsi="Calibri" w:cs="Arial"/>
                <w:b/>
              </w:rPr>
              <w:t xml:space="preserve"> of the CPD activities undertaken help you complete your learning objectives?  Would other types of CPD activities be more useful?</w:t>
            </w:r>
          </w:p>
          <w:p w:rsidR="007A6D8C" w:rsidRDefault="007A6D8C">
            <w:pPr>
              <w:rPr>
                <w:rFonts w:ascii="Calibri" w:hAnsi="Calibri" w:cs="Arial"/>
                <w:b/>
              </w:rPr>
            </w:pPr>
          </w:p>
        </w:tc>
      </w:tr>
      <w:tr w:rsidR="007A6D8C">
        <w:tc>
          <w:tcPr>
            <w:tcW w:w="14142" w:type="dxa"/>
            <w:shd w:val="clear" w:color="auto" w:fill="auto"/>
          </w:tcPr>
          <w:p w:rsidR="007A6D8C" w:rsidRDefault="007A6D8C">
            <w:pPr>
              <w:rPr>
                <w:rFonts w:ascii="Calibri" w:hAnsi="Calibri" w:cs="Arial"/>
                <w:b/>
              </w:rPr>
            </w:pPr>
          </w:p>
          <w:p w:rsidR="007A6D8C" w:rsidRDefault="007A6D8C">
            <w:pPr>
              <w:rPr>
                <w:rFonts w:ascii="Calibri" w:hAnsi="Calibri" w:cs="Arial"/>
                <w:b/>
              </w:rPr>
            </w:pPr>
          </w:p>
        </w:tc>
      </w:tr>
      <w:tr w:rsidR="007A6D8C">
        <w:tc>
          <w:tcPr>
            <w:tcW w:w="14142" w:type="dxa"/>
            <w:shd w:val="clear" w:color="auto" w:fill="E2EFD9"/>
          </w:tcPr>
          <w:p w:rsidR="007A6D8C" w:rsidRDefault="00962D2B">
            <w:pPr>
              <w:rPr>
                <w:rFonts w:ascii="Calibri" w:hAnsi="Calibri" w:cs="Arial"/>
                <w:b/>
              </w:rPr>
            </w:pPr>
            <w:r>
              <w:rPr>
                <w:rFonts w:ascii="Calibri" w:hAnsi="Calibri"/>
              </w:rPr>
              <w:br w:type="page"/>
            </w:r>
            <w:r>
              <w:rPr>
                <w:rFonts w:ascii="Calibri" w:hAnsi="Calibri" w:cs="Arial"/>
                <w:b/>
              </w:rPr>
              <w:t>Consideration of future learning objectives</w:t>
            </w:r>
          </w:p>
          <w:p w:rsidR="007A6D8C" w:rsidRDefault="00962D2B">
            <w:pPr>
              <w:rPr>
                <w:rFonts w:ascii="Calibri" w:hAnsi="Calibri" w:cs="Arial"/>
              </w:rPr>
            </w:pPr>
            <w:r>
              <w:rPr>
                <w:rFonts w:ascii="Calibri" w:hAnsi="Calibri" w:cs="Arial"/>
              </w:rPr>
              <w:t xml:space="preserve">You should use this section to make an initial assessment of what learning </w:t>
            </w:r>
            <w:r>
              <w:rPr>
                <w:rFonts w:ascii="Calibri" w:hAnsi="Calibri" w:cs="Arial"/>
              </w:rPr>
              <w:t xml:space="preserve">objectives may be required in the future and how they could be completed. Some things you could consider are: </w:t>
            </w:r>
          </w:p>
          <w:p w:rsidR="007A6D8C" w:rsidRDefault="00962D2B">
            <w:pPr>
              <w:numPr>
                <w:ilvl w:val="0"/>
                <w:numId w:val="5"/>
              </w:numPr>
              <w:spacing w:after="0" w:line="240" w:lineRule="auto"/>
              <w:contextualSpacing/>
              <w:rPr>
                <w:rFonts w:ascii="Calibri" w:hAnsi="Calibri" w:cs="Arial"/>
              </w:rPr>
            </w:pPr>
            <w:r>
              <w:rPr>
                <w:rFonts w:ascii="Calibri" w:hAnsi="Calibri" w:cs="Arial"/>
              </w:rPr>
              <w:t>Whether your process for identifying your learning objectives was effective;</w:t>
            </w:r>
          </w:p>
          <w:p w:rsidR="007A6D8C" w:rsidRDefault="00962D2B">
            <w:pPr>
              <w:numPr>
                <w:ilvl w:val="0"/>
                <w:numId w:val="5"/>
              </w:numPr>
              <w:spacing w:after="0" w:line="240" w:lineRule="auto"/>
              <w:contextualSpacing/>
              <w:rPr>
                <w:rFonts w:ascii="Calibri" w:hAnsi="Calibri" w:cs="Arial"/>
              </w:rPr>
            </w:pPr>
            <w:r>
              <w:rPr>
                <w:rFonts w:ascii="Calibri" w:hAnsi="Calibri" w:cs="Arial"/>
              </w:rPr>
              <w:t xml:space="preserve">Whether certain types of activity were particularly effective, </w:t>
            </w:r>
            <w:r>
              <w:rPr>
                <w:rFonts w:ascii="Calibri" w:hAnsi="Calibri" w:cs="Arial"/>
              </w:rPr>
              <w:t>and/or</w:t>
            </w:r>
          </w:p>
          <w:p w:rsidR="007A6D8C" w:rsidRDefault="00962D2B">
            <w:pPr>
              <w:numPr>
                <w:ilvl w:val="0"/>
                <w:numId w:val="5"/>
              </w:numPr>
              <w:spacing w:after="0" w:line="240" w:lineRule="auto"/>
              <w:contextualSpacing/>
              <w:rPr>
                <w:rFonts w:ascii="Calibri" w:hAnsi="Calibri" w:cs="Arial"/>
                <w:b/>
              </w:rPr>
            </w:pPr>
            <w:r>
              <w:rPr>
                <w:rFonts w:ascii="Calibri" w:hAnsi="Calibri" w:cs="Arial"/>
              </w:rPr>
              <w:t xml:space="preserve">Whether you have identified new areas for development/improvement.  </w:t>
            </w:r>
          </w:p>
          <w:p w:rsidR="007A6D8C" w:rsidRDefault="007A6D8C">
            <w:pPr>
              <w:rPr>
                <w:rFonts w:ascii="Calibri" w:hAnsi="Calibri" w:cs="Arial"/>
                <w:b/>
              </w:rPr>
            </w:pPr>
          </w:p>
        </w:tc>
      </w:tr>
      <w:tr w:rsidR="007A6D8C">
        <w:tc>
          <w:tcPr>
            <w:tcW w:w="14142" w:type="dxa"/>
            <w:shd w:val="clear" w:color="auto" w:fill="auto"/>
          </w:tcPr>
          <w:p w:rsidR="007A6D8C" w:rsidRDefault="007A6D8C">
            <w:pPr>
              <w:rPr>
                <w:rFonts w:ascii="Calibri" w:hAnsi="Calibri" w:cs="Arial"/>
                <w:b/>
              </w:rPr>
            </w:pPr>
          </w:p>
          <w:p w:rsidR="007A6D8C" w:rsidRDefault="007A6D8C">
            <w:pPr>
              <w:rPr>
                <w:rFonts w:ascii="Calibri" w:hAnsi="Calibri" w:cs="Arial"/>
                <w:b/>
              </w:rPr>
            </w:pPr>
          </w:p>
        </w:tc>
      </w:tr>
    </w:tbl>
    <w:p w:rsidR="007A6D8C" w:rsidRDefault="007A6D8C">
      <w:pPr>
        <w:spacing w:after="0" w:line="480" w:lineRule="auto"/>
        <w:jc w:val="both"/>
        <w:rPr>
          <w:rFonts w:cs="Arial"/>
        </w:rPr>
      </w:pPr>
    </w:p>
    <w:p w:rsidR="007A6D8C" w:rsidRDefault="007A6D8C"/>
    <w:sectPr w:rsidR="007A6D8C">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D8C" w:rsidRDefault="00962D2B">
      <w:pPr>
        <w:spacing w:after="0" w:line="240" w:lineRule="auto"/>
      </w:pPr>
      <w:r>
        <w:separator/>
      </w:r>
    </w:p>
  </w:endnote>
  <w:endnote w:type="continuationSeparator" w:id="0">
    <w:p w:rsidR="007A6D8C" w:rsidRDefault="00962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altName w:val="Calibri"/>
    <w:panose1 w:val="020F0302020204030204"/>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D8C" w:rsidRDefault="00962D2B">
    <w:pPr>
      <w:pStyle w:val="Footer"/>
      <w:jc w:val="center"/>
      <w:rPr>
        <w:rFonts w:cs="Arial"/>
      </w:rPr>
    </w:pPr>
    <w:r>
      <w:rPr>
        <w:rFonts w:cs="Arial"/>
      </w:rPr>
      <w:fldChar w:fldCharType="begin"/>
    </w:r>
    <w:r>
      <w:rPr>
        <w:rFonts w:cs="Arial"/>
      </w:rPr>
      <w:instrText xml:space="preserve"> PAGE   \* MERGEFORMAT </w:instrText>
    </w:r>
    <w:r>
      <w:rPr>
        <w:rFonts w:cs="Arial"/>
      </w:rPr>
      <w:fldChar w:fldCharType="separate"/>
    </w:r>
    <w:r>
      <w:rPr>
        <w:rFonts w:cs="Arial"/>
        <w:noProof/>
      </w:rPr>
      <w:t>12</w:t>
    </w:r>
    <w:r>
      <w:rPr>
        <w:rFonts w:cs="Arial"/>
        <w:noProof/>
      </w:rPr>
      <w:fldChar w:fldCharType="end"/>
    </w:r>
  </w:p>
  <w:p w:rsidR="007A6D8C" w:rsidRDefault="007A6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D8C" w:rsidRDefault="00962D2B">
      <w:pPr>
        <w:spacing w:after="0" w:line="240" w:lineRule="auto"/>
      </w:pPr>
      <w:r>
        <w:separator/>
      </w:r>
    </w:p>
  </w:footnote>
  <w:footnote w:type="continuationSeparator" w:id="0">
    <w:p w:rsidR="007A6D8C" w:rsidRDefault="00962D2B">
      <w:pPr>
        <w:spacing w:after="0" w:line="240" w:lineRule="auto"/>
      </w:pPr>
      <w:r>
        <w:continuationSeparator/>
      </w:r>
    </w:p>
  </w:footnote>
  <w:footnote w:id="1">
    <w:p w:rsidR="007A6D8C" w:rsidRDefault="00962D2B">
      <w:pPr>
        <w:pStyle w:val="FootnoteText"/>
      </w:pPr>
      <w:r>
        <w:rPr>
          <w:rStyle w:val="FootnoteReference"/>
        </w:rPr>
        <w:footnoteRef/>
      </w:r>
      <w:r>
        <w:t xml:space="preserve"> This is based on a note produced by Martin </w:t>
      </w:r>
      <w:proofErr w:type="spellStart"/>
      <w:r>
        <w:t>Bowdery</w:t>
      </w:r>
      <w:proofErr w:type="spellEnd"/>
      <w:r>
        <w:t xml:space="preserve"> QC in 2017.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F4C00"/>
    <w:multiLevelType w:val="hybridMultilevel"/>
    <w:tmpl w:val="B2947C8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1">
    <w:nsid w:val="54F87821"/>
    <w:multiLevelType w:val="multilevel"/>
    <w:tmpl w:val="BB66DE18"/>
    <w:lvl w:ilvl="0">
      <w:start w:val="1"/>
      <w:numFmt w:val="decimal"/>
      <w:lvlText w:val="%1."/>
      <w:lvlJc w:val="left"/>
      <w:pPr>
        <w:tabs>
          <w:tab w:val="num" w:pos="851"/>
        </w:tabs>
        <w:ind w:left="851" w:hanging="851"/>
      </w:pPr>
      <w:rPr>
        <w:rFonts w:ascii="Arial" w:hAnsi="Arial" w:cs="Arial" w:hint="default"/>
        <w:b w:val="0"/>
        <w:i w:val="0"/>
        <w:sz w:val="22"/>
        <w:szCs w:val="22"/>
      </w:rPr>
    </w:lvl>
    <w:lvl w:ilvl="1">
      <w:start w:val="1"/>
      <w:numFmt w:val="lowerLetter"/>
      <w:lvlText w:val="%2)"/>
      <w:lvlJc w:val="left"/>
      <w:pPr>
        <w:tabs>
          <w:tab w:val="num" w:pos="1701"/>
        </w:tabs>
        <w:ind w:left="1701" w:hanging="850"/>
      </w:pPr>
      <w:rPr>
        <w:rFonts w:ascii="Times New Roman" w:hAnsi="Times New Roman" w:hint="default"/>
        <w:b w:val="0"/>
        <w:i w:val="0"/>
        <w:sz w:val="24"/>
        <w:szCs w:val="22"/>
      </w:rPr>
    </w:lvl>
    <w:lvl w:ilvl="2">
      <w:start w:val="1"/>
      <w:numFmt w:val="lowerRoman"/>
      <w:lvlText w:val="%3)"/>
      <w:lvlJc w:val="left"/>
      <w:pPr>
        <w:tabs>
          <w:tab w:val="num" w:pos="2552"/>
        </w:tabs>
        <w:ind w:left="2552" w:hanging="851"/>
      </w:pPr>
      <w:rPr>
        <w:rFonts w:ascii="Times New Roman" w:hAnsi="Times New Roman" w:hint="default"/>
        <w:b w:val="0"/>
        <w:i w:val="0"/>
        <w:sz w:val="24"/>
        <w:szCs w:val="24"/>
      </w:rPr>
    </w:lvl>
    <w:lvl w:ilvl="3">
      <w:start w:val="1"/>
      <w:numFmt w:val="decimal"/>
      <w:lvlText w:val="(%4)"/>
      <w:lvlJc w:val="left"/>
      <w:pPr>
        <w:tabs>
          <w:tab w:val="num" w:pos="3402"/>
        </w:tabs>
        <w:ind w:left="3402" w:hanging="850"/>
      </w:pPr>
      <w:rPr>
        <w:rFonts w:ascii="Times New Roman" w:hAnsi="Times New Roman" w:hint="default"/>
        <w:b w:val="0"/>
        <w:i w:val="0"/>
        <w:sz w:val="24"/>
        <w:szCs w:val="24"/>
      </w:rPr>
    </w:lvl>
    <w:lvl w:ilvl="4">
      <w:start w:val="1"/>
      <w:numFmt w:val="lowerLetter"/>
      <w:lvlText w:val="(%5)"/>
      <w:lvlJc w:val="left"/>
      <w:pPr>
        <w:tabs>
          <w:tab w:val="num" w:pos="4253"/>
        </w:tabs>
        <w:ind w:left="4253" w:hanging="851"/>
      </w:pPr>
      <w:rPr>
        <w:rFonts w:ascii="Times New Roman" w:hAnsi="Times New Roman" w:hint="default"/>
        <w:b w:val="0"/>
        <w:i w:val="0"/>
        <w:sz w:val="22"/>
        <w:szCs w:val="22"/>
      </w:rPr>
    </w:lvl>
    <w:lvl w:ilvl="5">
      <w:start w:val="1"/>
      <w:numFmt w:val="lowerRoman"/>
      <w:lvlText w:val="(%6)"/>
      <w:lvlJc w:val="left"/>
      <w:pPr>
        <w:tabs>
          <w:tab w:val="num" w:pos="5103"/>
        </w:tabs>
        <w:ind w:left="5103" w:hanging="850"/>
      </w:pPr>
      <w:rPr>
        <w:rFonts w:ascii="Times New Roman" w:hAnsi="Times New Roman" w:hint="default"/>
        <w:b w:val="0"/>
        <w:i w:val="0"/>
        <w:sz w:val="22"/>
        <w:szCs w:val="22"/>
      </w:rPr>
    </w:lvl>
    <w:lvl w:ilvl="6">
      <w:start w:val="1"/>
      <w:numFmt w:val="decimal"/>
      <w:lvlText w:val="%7."/>
      <w:lvlJc w:val="left"/>
      <w:pPr>
        <w:tabs>
          <w:tab w:val="num" w:pos="5954"/>
        </w:tabs>
        <w:ind w:left="5954" w:hanging="851"/>
      </w:pPr>
      <w:rPr>
        <w:rFonts w:ascii="Times New Roman" w:hAnsi="Times New Roman" w:hint="default"/>
        <w:b w:val="0"/>
        <w:i w:val="0"/>
        <w:sz w:val="22"/>
        <w:szCs w:val="22"/>
      </w:rPr>
    </w:lvl>
    <w:lvl w:ilvl="7">
      <w:start w:val="1"/>
      <w:numFmt w:val="lowerLetter"/>
      <w:lvlText w:val="%8."/>
      <w:lvlJc w:val="left"/>
      <w:pPr>
        <w:tabs>
          <w:tab w:val="num" w:pos="6804"/>
        </w:tabs>
        <w:ind w:left="6804" w:hanging="850"/>
      </w:pPr>
      <w:rPr>
        <w:rFonts w:ascii="Times New Roman" w:hAnsi="Times New Roman" w:hint="default"/>
        <w:b w:val="0"/>
        <w:i w:val="0"/>
        <w:sz w:val="22"/>
        <w:szCs w:val="22"/>
      </w:rPr>
    </w:lvl>
    <w:lvl w:ilvl="8">
      <w:start w:val="1"/>
      <w:numFmt w:val="lowerRoman"/>
      <w:lvlText w:val="%9."/>
      <w:lvlJc w:val="left"/>
      <w:pPr>
        <w:tabs>
          <w:tab w:val="num" w:pos="7655"/>
        </w:tabs>
        <w:ind w:left="7655" w:hanging="851"/>
      </w:pPr>
      <w:rPr>
        <w:rFonts w:ascii="Times New Roman" w:hAnsi="Times New Roman" w:hint="default"/>
        <w:b w:val="0"/>
        <w:i w:val="0"/>
        <w:sz w:val="22"/>
        <w:szCs w:val="22"/>
      </w:rPr>
    </w:lvl>
  </w:abstractNum>
  <w:abstractNum w:abstractNumId="2">
    <w:nsid w:val="587B3DCF"/>
    <w:multiLevelType w:val="hybridMultilevel"/>
    <w:tmpl w:val="93CA1C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5A5528CA"/>
    <w:multiLevelType w:val="hybridMultilevel"/>
    <w:tmpl w:val="32E86152"/>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4">
    <w:nsid w:val="6601048C"/>
    <w:multiLevelType w:val="hybridMultilevel"/>
    <w:tmpl w:val="3910A0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nsid w:val="6E2A13F2"/>
    <w:multiLevelType w:val="hybridMultilevel"/>
    <w:tmpl w:val="DB828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4"/>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oNotDisplayPageBoundarie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8C"/>
    <w:rsid w:val="007A6D8C"/>
    <w:rsid w:val="00962D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Calibr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Arial" w:hAnsi="Arial" w:cs="Times New Roman"/>
    </w:rPr>
  </w:style>
  <w:style w:type="paragraph" w:styleId="Heading1">
    <w:name w:val="heading 1"/>
    <w:basedOn w:val="Normal"/>
    <w:next w:val="Normal"/>
    <w:link w:val="Heading1Char"/>
    <w:autoRedefine/>
    <w:uiPriority w:val="9"/>
    <w:qFormat/>
    <w:pPr>
      <w:keepNext/>
      <w:keepLines/>
      <w:spacing w:before="240"/>
      <w:outlineLvl w:val="0"/>
    </w:pPr>
    <w:rPr>
      <w:rFonts w:asciiTheme="majorHAnsi" w:eastAsiaTheme="majorEastAsia" w:hAnsiTheme="majorHAnsi" w:cstheme="majorBidi"/>
      <w:b/>
      <w:sz w:val="24"/>
      <w:szCs w:val="32"/>
      <w:u w:val="single"/>
    </w:rPr>
  </w:style>
  <w:style w:type="paragraph" w:styleId="Heading2">
    <w:name w:val="heading 2"/>
    <w:basedOn w:val="Normal"/>
    <w:next w:val="Normal"/>
    <w:link w:val="Heading2Char"/>
    <w:autoRedefine/>
    <w:uiPriority w:val="9"/>
    <w:unhideWhenUsed/>
    <w:qFormat/>
    <w:pPr>
      <w:spacing w:before="20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autoRedefine/>
    <w:uiPriority w:val="9"/>
    <w:unhideWhenUsed/>
    <w:qFormat/>
    <w:pPr>
      <w:spacing w:before="200" w:line="271" w:lineRule="auto"/>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sz w:val="24"/>
      <w:szCs w:val="32"/>
      <w:u w:val="single"/>
    </w:rPr>
  </w:style>
  <w:style w:type="character" w:customStyle="1" w:styleId="Heading3Char">
    <w:name w:val="Heading 3 Char"/>
    <w:basedOn w:val="DefaultParagraphFont"/>
    <w:link w:val="Heading3"/>
    <w:uiPriority w:val="9"/>
    <w:rPr>
      <w:rFonts w:ascii="Times New Roman" w:eastAsiaTheme="majorEastAsia" w:hAnsi="Times New Roman" w:cstheme="majorBidi"/>
      <w:b/>
      <w:bCs/>
      <w:i/>
      <w:szCs w:val="24"/>
      <w:lang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26"/>
      <w:szCs w:val="26"/>
      <w:u w:val="single"/>
      <w:lang w:eastAsia="en-GB"/>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i/>
      <w:iCs/>
      <w:szCs w:val="24"/>
      <w:lang w:eastAsia="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cs="Times New Roman"/>
    </w:rPr>
  </w:style>
  <w:style w:type="character" w:styleId="Hyperlink">
    <w:name w:val="Hyperlink"/>
    <w:uiPriority w:val="99"/>
    <w:unhideWhenUsed/>
    <w:rPr>
      <w:color w:val="0563C1"/>
      <w:u w:val="single"/>
    </w:rPr>
  </w:style>
  <w:style w:type="paragraph" w:styleId="ListParagraph">
    <w:name w:val="List Paragraph"/>
    <w:basedOn w:val="Normal"/>
    <w:uiPriority w:val="34"/>
    <w:qFormat/>
    <w:pPr>
      <w:ind w:left="720"/>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Arial" w:hAnsi="Arial" w:cs="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Calibri" w:hAnsiTheme="minorHAnsi" w:cstheme="minorBidi"/>
        <w:sz w:val="22"/>
        <w:szCs w:val="22"/>
        <w:lang w:val="en-GB"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59" w:lineRule="auto"/>
    </w:pPr>
    <w:rPr>
      <w:rFonts w:ascii="Arial" w:hAnsi="Arial" w:cs="Times New Roman"/>
    </w:rPr>
  </w:style>
  <w:style w:type="paragraph" w:styleId="Heading1">
    <w:name w:val="heading 1"/>
    <w:basedOn w:val="Normal"/>
    <w:next w:val="Normal"/>
    <w:link w:val="Heading1Char"/>
    <w:autoRedefine/>
    <w:uiPriority w:val="9"/>
    <w:qFormat/>
    <w:pPr>
      <w:keepNext/>
      <w:keepLines/>
      <w:spacing w:before="240"/>
      <w:outlineLvl w:val="0"/>
    </w:pPr>
    <w:rPr>
      <w:rFonts w:asciiTheme="majorHAnsi" w:eastAsiaTheme="majorEastAsia" w:hAnsiTheme="majorHAnsi" w:cstheme="majorBidi"/>
      <w:b/>
      <w:sz w:val="24"/>
      <w:szCs w:val="32"/>
      <w:u w:val="single"/>
    </w:rPr>
  </w:style>
  <w:style w:type="paragraph" w:styleId="Heading2">
    <w:name w:val="heading 2"/>
    <w:basedOn w:val="Normal"/>
    <w:next w:val="Normal"/>
    <w:link w:val="Heading2Char"/>
    <w:autoRedefine/>
    <w:uiPriority w:val="9"/>
    <w:unhideWhenUsed/>
    <w:qFormat/>
    <w:pPr>
      <w:spacing w:before="200"/>
      <w:outlineLvl w:val="1"/>
    </w:pPr>
    <w:rPr>
      <w:rFonts w:asciiTheme="majorHAnsi" w:eastAsiaTheme="majorEastAsia" w:hAnsiTheme="majorHAnsi" w:cstheme="majorBidi"/>
      <w:b/>
      <w:bCs/>
      <w:sz w:val="26"/>
      <w:szCs w:val="26"/>
      <w:u w:val="single"/>
    </w:rPr>
  </w:style>
  <w:style w:type="paragraph" w:styleId="Heading3">
    <w:name w:val="heading 3"/>
    <w:basedOn w:val="Normal"/>
    <w:next w:val="Normal"/>
    <w:link w:val="Heading3Char"/>
    <w:autoRedefine/>
    <w:uiPriority w:val="9"/>
    <w:unhideWhenUsed/>
    <w:qFormat/>
    <w:pPr>
      <w:spacing w:before="200" w:line="271" w:lineRule="auto"/>
      <w:outlineLvl w:val="2"/>
    </w:pPr>
    <w:rPr>
      <w:rFonts w:eastAsiaTheme="majorEastAsia" w:cstheme="majorBidi"/>
      <w:b/>
      <w:bCs/>
      <w:i/>
    </w:rPr>
  </w:style>
  <w:style w:type="paragraph" w:styleId="Heading4">
    <w:name w:val="heading 4"/>
    <w:basedOn w:val="Normal"/>
    <w:next w:val="Normal"/>
    <w:link w:val="Heading4Char"/>
    <w:uiPriority w:val="9"/>
    <w:semiHidden/>
    <w:unhideWhenUsed/>
    <w:qFormat/>
    <w:pPr>
      <w:keepNext/>
      <w:keepLines/>
      <w:spacing w:before="4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
      <w:sz w:val="24"/>
      <w:szCs w:val="32"/>
      <w:u w:val="single"/>
    </w:rPr>
  </w:style>
  <w:style w:type="character" w:customStyle="1" w:styleId="Heading3Char">
    <w:name w:val="Heading 3 Char"/>
    <w:basedOn w:val="DefaultParagraphFont"/>
    <w:link w:val="Heading3"/>
    <w:uiPriority w:val="9"/>
    <w:rPr>
      <w:rFonts w:ascii="Times New Roman" w:eastAsiaTheme="majorEastAsia" w:hAnsi="Times New Roman" w:cstheme="majorBidi"/>
      <w:b/>
      <w:bCs/>
      <w:i/>
      <w:szCs w:val="24"/>
      <w:lang w:eastAsia="en-GB"/>
    </w:rPr>
  </w:style>
  <w:style w:type="character" w:customStyle="1" w:styleId="Heading2Char">
    <w:name w:val="Heading 2 Char"/>
    <w:basedOn w:val="DefaultParagraphFont"/>
    <w:link w:val="Heading2"/>
    <w:uiPriority w:val="9"/>
    <w:rPr>
      <w:rFonts w:asciiTheme="majorHAnsi" w:eastAsiaTheme="majorEastAsia" w:hAnsiTheme="majorHAnsi" w:cstheme="majorBidi"/>
      <w:b/>
      <w:bCs/>
      <w:sz w:val="26"/>
      <w:szCs w:val="26"/>
      <w:u w:val="single"/>
      <w:lang w:eastAsia="en-GB"/>
    </w:rPr>
  </w:style>
  <w:style w:type="character" w:customStyle="1" w:styleId="Heading4Char">
    <w:name w:val="Heading 4 Char"/>
    <w:basedOn w:val="DefaultParagraphFont"/>
    <w:link w:val="Heading4"/>
    <w:uiPriority w:val="9"/>
    <w:semiHidden/>
    <w:rPr>
      <w:rFonts w:ascii="Times New Roman" w:eastAsiaTheme="majorEastAsia" w:hAnsi="Times New Roman" w:cstheme="majorBidi"/>
      <w:i/>
      <w:iCs/>
      <w:szCs w:val="24"/>
      <w:lang w:eastAsia="en-GB"/>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cs="Times New Roman"/>
    </w:rPr>
  </w:style>
  <w:style w:type="character" w:styleId="Hyperlink">
    <w:name w:val="Hyperlink"/>
    <w:uiPriority w:val="99"/>
    <w:unhideWhenUsed/>
    <w:rPr>
      <w:color w:val="0563C1"/>
      <w:u w:val="single"/>
    </w:rPr>
  </w:style>
  <w:style w:type="paragraph" w:styleId="ListParagraph">
    <w:name w:val="List Paragraph"/>
    <w:basedOn w:val="Normal"/>
    <w:uiPriority w:val="34"/>
    <w:qFormat/>
    <w:pPr>
      <w:ind w:left="720"/>
    </w:p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rFonts w:ascii="Arial" w:hAnsi="Arial" w:cs="Times New Roman"/>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rstandardsboard.org.uk/media/1800835/cpd_guidance_with_infographic.pdf"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arstandardsboard.org.uk/media/1800835/cpd_guidance_with_infographic.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rstandardsboard.org.uk/regulatory-requirements/regulatory-update-2016/bsb-regulatory-update-december-2016/new-cpd-guidance-for-established-barristers-available-now/"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barstandardsboard.org.uk/media/1800835/cpd_guidance_for_barristers.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E1DF6F-7E2D-4049-9023-1D8C1CCAE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1864</Words>
  <Characters>10628</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Advanced 365</Company>
  <LinksUpToDate>false</LinksUpToDate>
  <CharactersWithSpaces>12468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Rachael O'Hagan</dc:creator>
  <cp:lastModifiedBy>Robert Stokell</cp:lastModifiedBy>
  <cp:revision>2</cp:revision>
  <dcterms:created xsi:type="dcterms:W3CDTF">2018-02-19T13:14:00Z</dcterms:created>
  <dcterms:modified xsi:type="dcterms:W3CDTF">2018-02-19T13:14:00Z</dcterms:modified>
</cp:coreProperties>
</file>