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3C" w:rsidRPr="008D4C2D" w:rsidRDefault="00C77B3C" w:rsidP="00C77B3C">
      <w:pPr>
        <w:pStyle w:val="PlainText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8D4C2D">
        <w:rPr>
          <w:rFonts w:ascii="Calibri" w:hAnsi="Calibri" w:cs="Calibri"/>
          <w:b/>
          <w:sz w:val="28"/>
          <w:szCs w:val="28"/>
        </w:rPr>
        <w:t>TECBAR</w:t>
      </w:r>
    </w:p>
    <w:p w:rsidR="00C77B3C" w:rsidRPr="00A71198" w:rsidRDefault="00C77B3C" w:rsidP="00C77B3C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A71198">
        <w:rPr>
          <w:rFonts w:ascii="Calibri" w:hAnsi="Calibri" w:cs="Calibri"/>
          <w:b/>
          <w:sz w:val="22"/>
          <w:szCs w:val="22"/>
        </w:rPr>
        <w:t>ANNEX 1 TO EQUALITY &amp; DIVERSITY POLICY</w:t>
      </w:r>
    </w:p>
    <w:p w:rsidR="00C77B3C" w:rsidRPr="00A71198" w:rsidRDefault="00C77B3C" w:rsidP="00C77B3C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:rsidR="00C77B3C" w:rsidRPr="009F415C" w:rsidRDefault="00C77B3C" w:rsidP="00C77B3C">
      <w:pPr>
        <w:pStyle w:val="PlainTex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Role of </w:t>
      </w:r>
      <w:r w:rsidRPr="009F415C">
        <w:rPr>
          <w:rFonts w:ascii="Calibri" w:hAnsi="Calibri"/>
          <w:b/>
          <w:sz w:val="22"/>
          <w:szCs w:val="22"/>
        </w:rPr>
        <w:t>Equality &amp; Diversity O</w:t>
      </w:r>
      <w:r>
        <w:rPr>
          <w:rFonts w:ascii="Calibri" w:hAnsi="Calibri"/>
          <w:b/>
          <w:sz w:val="22"/>
          <w:szCs w:val="22"/>
        </w:rPr>
        <w:t>fficers</w:t>
      </w:r>
    </w:p>
    <w:p w:rsidR="00C77B3C" w:rsidRPr="009F415C" w:rsidRDefault="00C77B3C" w:rsidP="00C77B3C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p w:rsidR="00C77B3C" w:rsidRPr="009F415C" w:rsidRDefault="00C77B3C" w:rsidP="00C77B3C">
      <w:pPr>
        <w:spacing w:after="360" w:line="360" w:lineRule="auto"/>
        <w:rPr>
          <w:rFonts w:ascii="Calibri" w:hAnsi="Calibri"/>
          <w:b/>
          <w:sz w:val="22"/>
          <w:szCs w:val="22"/>
        </w:rPr>
      </w:pPr>
      <w:r w:rsidRPr="009F415C">
        <w:rPr>
          <w:rFonts w:ascii="Calibri" w:hAnsi="Calibri"/>
          <w:b/>
          <w:sz w:val="22"/>
          <w:szCs w:val="22"/>
        </w:rPr>
        <w:t>A.) Introduction</w:t>
      </w:r>
    </w:p>
    <w:p w:rsidR="00C77B3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Annex forms part of the TECBAR Equality &amp; Diversity Policy (“the E&amp;D Policy”).</w:t>
      </w:r>
    </w:p>
    <w:p w:rsidR="00C77B3C" w:rsidRDefault="00C77B3C" w:rsidP="00C77B3C">
      <w:pPr>
        <w:pStyle w:val="ListParagraph"/>
        <w:keepLines w:val="0"/>
        <w:numPr>
          <w:ilvl w:val="0"/>
          <w:numId w:val="1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 definitions and abbreviations used in the E&amp;D Policy are also adopted herein. </w:t>
      </w:r>
    </w:p>
    <w:p w:rsidR="00C77B3C" w:rsidRPr="000A7D7A" w:rsidRDefault="00C77B3C" w:rsidP="00C77B3C">
      <w:pPr>
        <w:pStyle w:val="ListParagraph"/>
        <w:keepLines w:val="0"/>
        <w:ind w:left="360"/>
        <w:rPr>
          <w:rFonts w:ascii="Calibri" w:hAnsi="Calibri" w:cs="Calibri"/>
          <w:szCs w:val="22"/>
        </w:rPr>
      </w:pPr>
    </w:p>
    <w:p w:rsidR="00C77B3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TECBAR Committee has designated two of its members to have </w:t>
      </w:r>
      <w:r w:rsidRPr="009F415C">
        <w:rPr>
          <w:rFonts w:ascii="Calibri" w:hAnsi="Calibri"/>
          <w:sz w:val="22"/>
          <w:szCs w:val="22"/>
        </w:rPr>
        <w:t>responsibility for equal oppo</w:t>
      </w:r>
      <w:r>
        <w:rPr>
          <w:rFonts w:ascii="Calibri" w:hAnsi="Calibri"/>
          <w:sz w:val="22"/>
          <w:szCs w:val="22"/>
        </w:rPr>
        <w:t xml:space="preserve">rtunities issues arising in the course of TECBAR’s activities, the </w:t>
      </w:r>
      <w:r w:rsidRPr="009F415C">
        <w:rPr>
          <w:rFonts w:ascii="Calibri" w:hAnsi="Calibri"/>
          <w:sz w:val="22"/>
          <w:szCs w:val="22"/>
        </w:rPr>
        <w:t>Equality &amp; Diversity Officers (“EDOs”)</w:t>
      </w:r>
      <w:r>
        <w:rPr>
          <w:rFonts w:ascii="Calibri" w:hAnsi="Calibri"/>
          <w:sz w:val="22"/>
          <w:szCs w:val="22"/>
        </w:rPr>
        <w:t>. The two current EDOs are:</w:t>
      </w:r>
    </w:p>
    <w:p w:rsidR="00C77B3C" w:rsidRDefault="00C77B3C" w:rsidP="00C77B3C">
      <w:pPr>
        <w:spacing w:after="360"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Fiona Sinclair QC – 4 New Square</w:t>
      </w:r>
      <w:r w:rsidR="00BF418D">
        <w:rPr>
          <w:rFonts w:ascii="Calibri" w:hAnsi="Calibri"/>
          <w:sz w:val="22"/>
          <w:szCs w:val="22"/>
        </w:rPr>
        <w:t xml:space="preserve"> – the Senior EDO</w:t>
      </w:r>
    </w:p>
    <w:p w:rsidR="00C77B3C" w:rsidRPr="009F415C" w:rsidRDefault="00C77B3C" w:rsidP="00C77B3C">
      <w:pPr>
        <w:spacing w:after="360"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Siân Mirchandani – 4 New Square</w:t>
      </w:r>
      <w:r w:rsidR="00BF418D">
        <w:rPr>
          <w:rFonts w:ascii="Calibri" w:hAnsi="Calibri"/>
          <w:sz w:val="22"/>
          <w:szCs w:val="22"/>
        </w:rPr>
        <w:t xml:space="preserve"> – the Junior EDO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annex</w:t>
      </w:r>
      <w:r w:rsidRPr="009F415C">
        <w:rPr>
          <w:rFonts w:ascii="Calibri" w:hAnsi="Calibri"/>
          <w:sz w:val="22"/>
          <w:szCs w:val="22"/>
        </w:rPr>
        <w:t xml:space="preserve"> sets out </w:t>
      </w:r>
      <w:r>
        <w:rPr>
          <w:rFonts w:ascii="Calibri" w:hAnsi="Calibri"/>
          <w:sz w:val="22"/>
          <w:szCs w:val="22"/>
        </w:rPr>
        <w:t>TECBAR’s</w:t>
      </w:r>
      <w:r w:rsidRPr="009F415C">
        <w:rPr>
          <w:rFonts w:ascii="Calibri" w:hAnsi="Calibri"/>
          <w:sz w:val="22"/>
          <w:szCs w:val="22"/>
        </w:rPr>
        <w:t xml:space="preserve"> policy on the appointment of </w:t>
      </w:r>
      <w:r>
        <w:rPr>
          <w:rFonts w:ascii="Calibri" w:hAnsi="Calibri"/>
          <w:sz w:val="22"/>
          <w:szCs w:val="22"/>
        </w:rPr>
        <w:t xml:space="preserve">the EDOs and their role within TECBAR and the TECBAR Committee.  </w:t>
      </w:r>
    </w:p>
    <w:p w:rsidR="00C77B3C" w:rsidRPr="009F415C" w:rsidRDefault="00C77B3C" w:rsidP="00C77B3C">
      <w:p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b/>
          <w:sz w:val="22"/>
          <w:szCs w:val="22"/>
        </w:rPr>
        <w:t>B.) Appointment and Term of Office of EDOs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TECBAR w</w:t>
      </w:r>
      <w:r w:rsidRPr="009F415C">
        <w:rPr>
          <w:rFonts w:ascii="Calibri" w:hAnsi="Calibri"/>
          <w:sz w:val="22"/>
          <w:szCs w:val="22"/>
        </w:rPr>
        <w:t xml:space="preserve">ill have two Equality &amp; Diversity Officers (“EDOs”) one of whom will be a silk </w:t>
      </w:r>
      <w:r>
        <w:rPr>
          <w:rFonts w:ascii="Calibri" w:hAnsi="Calibri"/>
          <w:sz w:val="22"/>
          <w:szCs w:val="22"/>
        </w:rPr>
        <w:t xml:space="preserve">(“the Senior EDO”) </w:t>
      </w:r>
      <w:r w:rsidRPr="009F415C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the other a junior (“the Junior </w:t>
      </w:r>
      <w:r w:rsidRPr="009F415C">
        <w:rPr>
          <w:rFonts w:ascii="Calibri" w:hAnsi="Calibri"/>
          <w:sz w:val="22"/>
          <w:szCs w:val="22"/>
        </w:rPr>
        <w:t>EDO</w:t>
      </w:r>
      <w:r>
        <w:rPr>
          <w:rFonts w:ascii="Calibri" w:hAnsi="Calibri"/>
          <w:sz w:val="22"/>
          <w:szCs w:val="22"/>
        </w:rPr>
        <w:t>”</w:t>
      </w:r>
      <w:r w:rsidRPr="009F415C">
        <w:rPr>
          <w:rFonts w:ascii="Calibri" w:hAnsi="Calibri"/>
          <w:sz w:val="22"/>
          <w:szCs w:val="22"/>
        </w:rPr>
        <w:t>).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 xml:space="preserve">The EDOs will be selected by the </w:t>
      </w:r>
      <w:r>
        <w:rPr>
          <w:rFonts w:ascii="Calibri" w:hAnsi="Calibri"/>
          <w:sz w:val="22"/>
          <w:szCs w:val="22"/>
        </w:rPr>
        <w:t>Chair of TECBAR</w:t>
      </w:r>
      <w:r w:rsidRPr="009F415C">
        <w:rPr>
          <w:rFonts w:ascii="Calibri" w:hAnsi="Calibri"/>
          <w:sz w:val="22"/>
          <w:szCs w:val="22"/>
        </w:rPr>
        <w:t xml:space="preserve"> but such selection shall be subject to the approval of</w:t>
      </w:r>
      <w:r w:rsidRPr="00F8570A">
        <w:rPr>
          <w:rFonts w:ascii="Calibri" w:hAnsi="Calibri"/>
          <w:sz w:val="22"/>
          <w:szCs w:val="22"/>
        </w:rPr>
        <w:t xml:space="preserve"> </w:t>
      </w:r>
      <w:r w:rsidRPr="009F415C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TECBAR Committee</w:t>
      </w:r>
      <w:r w:rsidRPr="009F415C">
        <w:rPr>
          <w:rFonts w:ascii="Calibri" w:hAnsi="Calibri"/>
          <w:sz w:val="22"/>
          <w:szCs w:val="22"/>
        </w:rPr>
        <w:t xml:space="preserve">. 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 xml:space="preserve">EDOs shall hold office for </w:t>
      </w:r>
      <w:r w:rsidRPr="0070144F">
        <w:rPr>
          <w:rFonts w:ascii="Calibri" w:hAnsi="Calibri"/>
          <w:sz w:val="22"/>
          <w:szCs w:val="22"/>
        </w:rPr>
        <w:t>two</w:t>
      </w:r>
      <w:r w:rsidRPr="009F415C">
        <w:rPr>
          <w:rFonts w:ascii="Calibri" w:hAnsi="Calibri"/>
          <w:sz w:val="22"/>
          <w:szCs w:val="22"/>
        </w:rPr>
        <w:t xml:space="preserve"> years, the period of office being from </w:t>
      </w:r>
      <w:r>
        <w:rPr>
          <w:rFonts w:ascii="Calibri" w:hAnsi="Calibri"/>
          <w:sz w:val="22"/>
          <w:szCs w:val="22"/>
        </w:rPr>
        <w:t>the date of  TECBAR ‘s Annual General Meeting (“AGM”) in July</w:t>
      </w:r>
      <w:r w:rsidRPr="009F415C">
        <w:rPr>
          <w:rFonts w:ascii="Calibri" w:hAnsi="Calibri"/>
          <w:sz w:val="22"/>
          <w:szCs w:val="22"/>
        </w:rPr>
        <w:t xml:space="preserve"> in year one to</w:t>
      </w:r>
      <w:r>
        <w:rPr>
          <w:rFonts w:ascii="Calibri" w:hAnsi="Calibri"/>
          <w:sz w:val="22"/>
          <w:szCs w:val="22"/>
        </w:rPr>
        <w:t xml:space="preserve"> the date of TECBAR’s AGM in </w:t>
      </w:r>
      <w:r w:rsidRPr="009F41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July in year two. An EDO shall be eligible for re-election or re-co-option upon the expiry of his/her term of membership of the TECBAR Committee. 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>Where the junior EDO takes silk, or either of the EDOs ceases to be a</w:t>
      </w:r>
      <w:r>
        <w:rPr>
          <w:rFonts w:ascii="Calibri" w:hAnsi="Calibri"/>
          <w:sz w:val="22"/>
          <w:szCs w:val="22"/>
        </w:rPr>
        <w:t xml:space="preserve"> member of the TECBAR Committee </w:t>
      </w:r>
      <w:r w:rsidRPr="009F415C">
        <w:rPr>
          <w:rFonts w:ascii="Calibri" w:hAnsi="Calibri"/>
          <w:sz w:val="22"/>
          <w:szCs w:val="22"/>
        </w:rPr>
        <w:t>or resigns from office during his</w:t>
      </w:r>
      <w:r>
        <w:rPr>
          <w:rFonts w:ascii="Calibri" w:hAnsi="Calibri"/>
          <w:sz w:val="22"/>
          <w:szCs w:val="22"/>
        </w:rPr>
        <w:t>/her</w:t>
      </w:r>
      <w:r w:rsidRPr="009F415C">
        <w:rPr>
          <w:rFonts w:ascii="Calibri" w:hAnsi="Calibri"/>
          <w:sz w:val="22"/>
          <w:szCs w:val="22"/>
        </w:rPr>
        <w:t xml:space="preserve"> two year term another EDO will be selected and </w:t>
      </w:r>
      <w:r w:rsidRPr="009F415C">
        <w:rPr>
          <w:rFonts w:ascii="Calibri" w:hAnsi="Calibri"/>
          <w:sz w:val="22"/>
          <w:szCs w:val="22"/>
        </w:rPr>
        <w:lastRenderedPageBreak/>
        <w:t xml:space="preserve">the newly selected EDO will hold office for the </w:t>
      </w:r>
      <w:r>
        <w:rPr>
          <w:rFonts w:ascii="Calibri" w:hAnsi="Calibri"/>
          <w:sz w:val="22"/>
          <w:szCs w:val="22"/>
        </w:rPr>
        <w:t xml:space="preserve">unserved balance of the </w:t>
      </w:r>
      <w:r w:rsidRPr="009F415C">
        <w:rPr>
          <w:rFonts w:ascii="Calibri" w:hAnsi="Calibri"/>
          <w:sz w:val="22"/>
          <w:szCs w:val="22"/>
        </w:rPr>
        <w:t xml:space="preserve">term </w:t>
      </w:r>
      <w:r>
        <w:rPr>
          <w:rFonts w:ascii="Calibri" w:hAnsi="Calibri"/>
          <w:sz w:val="22"/>
          <w:szCs w:val="22"/>
        </w:rPr>
        <w:t xml:space="preserve">of </w:t>
      </w:r>
      <w:r w:rsidRPr="009F415C">
        <w:rPr>
          <w:rFonts w:ascii="Calibri" w:hAnsi="Calibri"/>
          <w:sz w:val="22"/>
          <w:szCs w:val="22"/>
        </w:rPr>
        <w:t>the outgoing EDO.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>The names of the</w:t>
      </w:r>
      <w:r>
        <w:rPr>
          <w:rFonts w:ascii="Calibri" w:hAnsi="Calibri"/>
          <w:sz w:val="22"/>
          <w:szCs w:val="22"/>
        </w:rPr>
        <w:t xml:space="preserve"> EDOs will be published on TECBAR’s website</w:t>
      </w:r>
      <w:r w:rsidRPr="009F415C">
        <w:rPr>
          <w:rFonts w:ascii="Calibri" w:hAnsi="Calibri"/>
          <w:sz w:val="22"/>
          <w:szCs w:val="22"/>
        </w:rPr>
        <w:t xml:space="preserve">. </w:t>
      </w:r>
    </w:p>
    <w:p w:rsidR="00C77B3C" w:rsidRPr="009F415C" w:rsidRDefault="00C77B3C" w:rsidP="00C77B3C">
      <w:pPr>
        <w:spacing w:after="360" w:line="360" w:lineRule="auto"/>
        <w:rPr>
          <w:rFonts w:ascii="Calibri" w:hAnsi="Calibri"/>
          <w:b/>
          <w:sz w:val="22"/>
          <w:szCs w:val="22"/>
        </w:rPr>
      </w:pPr>
      <w:r w:rsidRPr="009F415C">
        <w:rPr>
          <w:rFonts w:ascii="Calibri" w:hAnsi="Calibri"/>
          <w:b/>
          <w:sz w:val="22"/>
          <w:szCs w:val="22"/>
        </w:rPr>
        <w:t xml:space="preserve">C.) Role of </w:t>
      </w:r>
      <w:r>
        <w:rPr>
          <w:rFonts w:ascii="Calibri" w:hAnsi="Calibri"/>
          <w:b/>
          <w:sz w:val="22"/>
          <w:szCs w:val="22"/>
        </w:rPr>
        <w:t xml:space="preserve">TECBAR’s </w:t>
      </w:r>
      <w:r w:rsidRPr="009F415C">
        <w:rPr>
          <w:rFonts w:ascii="Calibri" w:hAnsi="Calibri"/>
          <w:b/>
          <w:sz w:val="22"/>
          <w:szCs w:val="22"/>
        </w:rPr>
        <w:t xml:space="preserve">EDOs 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 xml:space="preserve">The EDOs will act as a confidential point of reference for </w:t>
      </w:r>
      <w:r>
        <w:rPr>
          <w:rFonts w:ascii="Calibri" w:hAnsi="Calibri"/>
          <w:sz w:val="22"/>
          <w:szCs w:val="22"/>
        </w:rPr>
        <w:t>m</w:t>
      </w:r>
      <w:r w:rsidRPr="009F415C">
        <w:rPr>
          <w:rFonts w:ascii="Calibri" w:hAnsi="Calibri"/>
          <w:sz w:val="22"/>
          <w:szCs w:val="22"/>
        </w:rPr>
        <w:t>embers</w:t>
      </w:r>
      <w:r>
        <w:rPr>
          <w:rFonts w:ascii="Calibri" w:hAnsi="Calibri"/>
          <w:sz w:val="22"/>
          <w:szCs w:val="22"/>
        </w:rPr>
        <w:t xml:space="preserve"> of TECBAR</w:t>
      </w:r>
      <w:r w:rsidRPr="009F415C">
        <w:rPr>
          <w:rFonts w:ascii="Calibri" w:hAnsi="Calibri"/>
          <w:sz w:val="22"/>
          <w:szCs w:val="22"/>
        </w:rPr>
        <w:t>, pupils</w:t>
      </w:r>
      <w:r>
        <w:rPr>
          <w:rFonts w:ascii="Calibri" w:hAnsi="Calibri"/>
          <w:sz w:val="22"/>
          <w:szCs w:val="22"/>
        </w:rPr>
        <w:t xml:space="preserve"> of TECBAR members, or visitors</w:t>
      </w:r>
      <w:r w:rsidRPr="009F41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events organised by TECBAR </w:t>
      </w:r>
      <w:r w:rsidRPr="009F415C">
        <w:rPr>
          <w:rFonts w:ascii="Calibri" w:hAnsi="Calibri"/>
          <w:sz w:val="22"/>
          <w:szCs w:val="22"/>
        </w:rPr>
        <w:t>who consider that any equality and diversity issue has arisen concerning their membership of</w:t>
      </w:r>
      <w:r>
        <w:rPr>
          <w:rFonts w:ascii="Calibri" w:hAnsi="Calibri"/>
          <w:sz w:val="22"/>
          <w:szCs w:val="22"/>
        </w:rPr>
        <w:t xml:space="preserve"> TECBAR or their attendance at TECBAR’s activities or events</w:t>
      </w:r>
      <w:r w:rsidRPr="009F415C">
        <w:rPr>
          <w:rFonts w:ascii="Calibri" w:hAnsi="Calibri"/>
          <w:sz w:val="22"/>
          <w:szCs w:val="22"/>
        </w:rPr>
        <w:t xml:space="preserve">. Where such an issue does arise then the EDOs will, if all parties consent, seek to resolve that issue informally. Otherwise, the EDOs will refer the complainant to the </w:t>
      </w:r>
      <w:r>
        <w:rPr>
          <w:rFonts w:ascii="Calibri" w:hAnsi="Calibri"/>
          <w:sz w:val="22"/>
          <w:szCs w:val="22"/>
        </w:rPr>
        <w:t>TECBAR</w:t>
      </w:r>
      <w:r w:rsidRPr="009F41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Complaints </w:t>
      </w:r>
      <w:r w:rsidRPr="009F415C">
        <w:rPr>
          <w:rFonts w:ascii="Calibri" w:hAnsi="Calibri"/>
          <w:sz w:val="22"/>
          <w:szCs w:val="22"/>
        </w:rPr>
        <w:t>Procedure as appropriate.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>The EDOs will assist the</w:t>
      </w:r>
      <w:r>
        <w:rPr>
          <w:rFonts w:ascii="Calibri" w:hAnsi="Calibri"/>
          <w:sz w:val="22"/>
          <w:szCs w:val="22"/>
        </w:rPr>
        <w:t xml:space="preserve"> Chair and officers of the TECBAR Committee</w:t>
      </w:r>
      <w:r w:rsidRPr="009F415C">
        <w:rPr>
          <w:rFonts w:ascii="Calibri" w:hAnsi="Calibri"/>
          <w:sz w:val="22"/>
          <w:szCs w:val="22"/>
        </w:rPr>
        <w:t xml:space="preserve"> by:</w:t>
      </w:r>
    </w:p>
    <w:p w:rsidR="00C77B3C" w:rsidRPr="009F415C" w:rsidRDefault="00C77B3C" w:rsidP="00C77B3C">
      <w:pPr>
        <w:numPr>
          <w:ilvl w:val="1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>Acting as a point of reference regarding their compliance with the Bar Standards Board Equality and Diversity Rules ; and</w:t>
      </w:r>
    </w:p>
    <w:p w:rsidR="00C77B3C" w:rsidRPr="009F415C" w:rsidRDefault="00C77B3C" w:rsidP="00C77B3C">
      <w:pPr>
        <w:numPr>
          <w:ilvl w:val="1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 xml:space="preserve">Administering and considering Equality Impact Assessments completed by the </w:t>
      </w:r>
      <w:r>
        <w:rPr>
          <w:rFonts w:ascii="Calibri" w:hAnsi="Calibri"/>
          <w:sz w:val="22"/>
          <w:szCs w:val="22"/>
        </w:rPr>
        <w:t>Committee Members</w:t>
      </w:r>
      <w:r w:rsidRPr="009F415C">
        <w:rPr>
          <w:rFonts w:ascii="Calibri" w:hAnsi="Calibri"/>
          <w:sz w:val="22"/>
          <w:szCs w:val="22"/>
        </w:rPr>
        <w:t xml:space="preserve"> when a new policy/procedure is implemented, or where an existing policy/procedure is to be reviewed, amended, updated or revised;</w:t>
      </w:r>
    </w:p>
    <w:p w:rsidR="00C77B3C" w:rsidRPr="009F415C" w:rsidRDefault="00C77B3C" w:rsidP="00C77B3C">
      <w:pPr>
        <w:numPr>
          <w:ilvl w:val="1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</w:rPr>
        <w:t>Where appropriate carrying out such Equality Impact Assessments.</w:t>
      </w:r>
    </w:p>
    <w:p w:rsidR="00C77B3C" w:rsidRPr="009F415C" w:rsidRDefault="00C77B3C" w:rsidP="00C77B3C">
      <w:pPr>
        <w:numPr>
          <w:ilvl w:val="0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  <w:lang w:val="en-US"/>
        </w:rPr>
        <w:t xml:space="preserve">Every two years the EDOs will review the following sections of </w:t>
      </w:r>
      <w:r>
        <w:rPr>
          <w:rFonts w:ascii="Calibri" w:hAnsi="Calibri"/>
          <w:sz w:val="22"/>
          <w:szCs w:val="22"/>
          <w:lang w:val="en-US"/>
        </w:rPr>
        <w:t>TECBAR’s policies</w:t>
      </w:r>
      <w:r w:rsidRPr="009F415C">
        <w:rPr>
          <w:rFonts w:ascii="Calibri" w:hAnsi="Calibri"/>
          <w:sz w:val="22"/>
          <w:szCs w:val="22"/>
          <w:lang w:val="en-US"/>
        </w:rPr>
        <w:t>:</w:t>
      </w:r>
    </w:p>
    <w:p w:rsidR="00C77B3C" w:rsidRPr="009F415C" w:rsidRDefault="00C77B3C" w:rsidP="00C77B3C">
      <w:pPr>
        <w:numPr>
          <w:ilvl w:val="1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 w:rsidRPr="009F415C">
        <w:rPr>
          <w:rFonts w:ascii="Calibri" w:hAnsi="Calibri"/>
          <w:sz w:val="22"/>
          <w:szCs w:val="22"/>
          <w:lang w:val="en-US"/>
        </w:rPr>
        <w:t>The Equal Opportunities Policy (and any related policy documents);</w:t>
      </w:r>
    </w:p>
    <w:p w:rsidR="00C77B3C" w:rsidRPr="008D4C2D" w:rsidRDefault="00C77B3C" w:rsidP="00C77B3C">
      <w:pPr>
        <w:numPr>
          <w:ilvl w:val="1"/>
          <w:numId w:val="1"/>
        </w:numPr>
        <w:spacing w:after="3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The Reasonable Adjustments policy</w:t>
      </w:r>
      <w:r w:rsidRPr="009F415C">
        <w:rPr>
          <w:rFonts w:ascii="Calibri" w:hAnsi="Calibri"/>
          <w:sz w:val="22"/>
          <w:szCs w:val="22"/>
          <w:lang w:val="en-US"/>
        </w:rPr>
        <w:t>; and</w:t>
      </w:r>
    </w:p>
    <w:p w:rsidR="00C77B3C" w:rsidRDefault="00C77B3C" w:rsidP="00C77B3C">
      <w:pPr>
        <w:numPr>
          <w:ilvl w:val="1"/>
          <w:numId w:val="1"/>
        </w:numPr>
        <w:spacing w:after="360" w:line="360" w:lineRule="auto"/>
      </w:pPr>
      <w:r w:rsidRPr="008D4C2D">
        <w:rPr>
          <w:rFonts w:ascii="Calibri" w:hAnsi="Calibri"/>
          <w:sz w:val="22"/>
          <w:szCs w:val="22"/>
          <w:lang w:val="en-US"/>
        </w:rPr>
        <w:t>The Complaints P</w:t>
      </w:r>
      <w:r>
        <w:rPr>
          <w:rFonts w:ascii="Calibri" w:hAnsi="Calibri"/>
          <w:sz w:val="22"/>
          <w:szCs w:val="22"/>
          <w:lang w:val="en-US"/>
        </w:rPr>
        <w:t>rocedure</w:t>
      </w:r>
      <w:r w:rsidRPr="008D4C2D">
        <w:rPr>
          <w:rFonts w:ascii="Calibri" w:hAnsi="Calibri"/>
          <w:sz w:val="22"/>
          <w:szCs w:val="22"/>
          <w:lang w:val="en-US"/>
        </w:rPr>
        <w:t>.</w:t>
      </w:r>
    </w:p>
    <w:p w:rsidR="007055D3" w:rsidRDefault="007055D3"/>
    <w:sectPr w:rsidR="007055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30" w:rsidRDefault="00CA3C57">
      <w:r>
        <w:separator/>
      </w:r>
    </w:p>
  </w:endnote>
  <w:endnote w:type="continuationSeparator" w:id="0">
    <w:p w:rsidR="00895B30" w:rsidRDefault="00C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F1" w:rsidRDefault="00C77B3C">
    <w:pPr>
      <w:pStyle w:val="Footer"/>
    </w:pPr>
    <w:r>
      <w:t>January 2015</w:t>
    </w:r>
  </w:p>
  <w:p w:rsidR="00A85BF1" w:rsidRDefault="00466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30" w:rsidRDefault="00CA3C57">
      <w:r>
        <w:separator/>
      </w:r>
    </w:p>
  </w:footnote>
  <w:footnote w:type="continuationSeparator" w:id="0">
    <w:p w:rsidR="00895B30" w:rsidRDefault="00CA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4C83"/>
    <w:multiLevelType w:val="hybridMultilevel"/>
    <w:tmpl w:val="EC02A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80F3E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3C"/>
    <w:rsid w:val="00007DD8"/>
    <w:rsid w:val="00012080"/>
    <w:rsid w:val="000174CB"/>
    <w:rsid w:val="00023E19"/>
    <w:rsid w:val="00024ABC"/>
    <w:rsid w:val="000251E3"/>
    <w:rsid w:val="0002735E"/>
    <w:rsid w:val="00027A66"/>
    <w:rsid w:val="000300C7"/>
    <w:rsid w:val="000318EF"/>
    <w:rsid w:val="00037689"/>
    <w:rsid w:val="00050D0B"/>
    <w:rsid w:val="0005523B"/>
    <w:rsid w:val="00064C3F"/>
    <w:rsid w:val="00090CB8"/>
    <w:rsid w:val="00092CF4"/>
    <w:rsid w:val="000A0AE2"/>
    <w:rsid w:val="000A1421"/>
    <w:rsid w:val="000A7F53"/>
    <w:rsid w:val="000C7A30"/>
    <w:rsid w:val="000E4569"/>
    <w:rsid w:val="000F5E20"/>
    <w:rsid w:val="00100972"/>
    <w:rsid w:val="001011FD"/>
    <w:rsid w:val="00110B85"/>
    <w:rsid w:val="001127DC"/>
    <w:rsid w:val="00116FA1"/>
    <w:rsid w:val="00120311"/>
    <w:rsid w:val="00127F9B"/>
    <w:rsid w:val="00131FE1"/>
    <w:rsid w:val="00134326"/>
    <w:rsid w:val="001353F1"/>
    <w:rsid w:val="001368EE"/>
    <w:rsid w:val="00154A2B"/>
    <w:rsid w:val="00163E92"/>
    <w:rsid w:val="00166BEA"/>
    <w:rsid w:val="00171E0A"/>
    <w:rsid w:val="00181720"/>
    <w:rsid w:val="00185897"/>
    <w:rsid w:val="00191F33"/>
    <w:rsid w:val="0019567F"/>
    <w:rsid w:val="001A4E2E"/>
    <w:rsid w:val="001A52B2"/>
    <w:rsid w:val="001A5D78"/>
    <w:rsid w:val="001C6E20"/>
    <w:rsid w:val="001D6E92"/>
    <w:rsid w:val="001D7ABE"/>
    <w:rsid w:val="001E08D9"/>
    <w:rsid w:val="001E24D2"/>
    <w:rsid w:val="001E3DF9"/>
    <w:rsid w:val="001E6916"/>
    <w:rsid w:val="001F4048"/>
    <w:rsid w:val="001F40C5"/>
    <w:rsid w:val="00207B64"/>
    <w:rsid w:val="00214306"/>
    <w:rsid w:val="00215E2F"/>
    <w:rsid w:val="002221AF"/>
    <w:rsid w:val="00222861"/>
    <w:rsid w:val="0022382D"/>
    <w:rsid w:val="002254AB"/>
    <w:rsid w:val="00226836"/>
    <w:rsid w:val="00227187"/>
    <w:rsid w:val="00237F33"/>
    <w:rsid w:val="00244D68"/>
    <w:rsid w:val="00263C15"/>
    <w:rsid w:val="0026686C"/>
    <w:rsid w:val="002734FE"/>
    <w:rsid w:val="0027484F"/>
    <w:rsid w:val="002763F8"/>
    <w:rsid w:val="00284AF7"/>
    <w:rsid w:val="002A1DF0"/>
    <w:rsid w:val="002A53C4"/>
    <w:rsid w:val="002A5588"/>
    <w:rsid w:val="002B033F"/>
    <w:rsid w:val="002B0A5E"/>
    <w:rsid w:val="002C268B"/>
    <w:rsid w:val="002C27BB"/>
    <w:rsid w:val="002C5EF9"/>
    <w:rsid w:val="002D28EC"/>
    <w:rsid w:val="002D68B6"/>
    <w:rsid w:val="002E05C2"/>
    <w:rsid w:val="002E2E95"/>
    <w:rsid w:val="002E5308"/>
    <w:rsid w:val="002E7A1F"/>
    <w:rsid w:val="0030429A"/>
    <w:rsid w:val="00304D13"/>
    <w:rsid w:val="003206B4"/>
    <w:rsid w:val="0033569B"/>
    <w:rsid w:val="00337DDE"/>
    <w:rsid w:val="00341992"/>
    <w:rsid w:val="00346CF9"/>
    <w:rsid w:val="00354C24"/>
    <w:rsid w:val="00356AEC"/>
    <w:rsid w:val="003628D9"/>
    <w:rsid w:val="00362A69"/>
    <w:rsid w:val="00364219"/>
    <w:rsid w:val="00364C8A"/>
    <w:rsid w:val="003652D3"/>
    <w:rsid w:val="003702C2"/>
    <w:rsid w:val="00372312"/>
    <w:rsid w:val="003743BF"/>
    <w:rsid w:val="0037604E"/>
    <w:rsid w:val="00380B7C"/>
    <w:rsid w:val="0038198F"/>
    <w:rsid w:val="00391F8B"/>
    <w:rsid w:val="003A42A1"/>
    <w:rsid w:val="003A6B44"/>
    <w:rsid w:val="003A75BD"/>
    <w:rsid w:val="003B0CFA"/>
    <w:rsid w:val="003B5615"/>
    <w:rsid w:val="003B6DF7"/>
    <w:rsid w:val="003C3C45"/>
    <w:rsid w:val="003D1773"/>
    <w:rsid w:val="003D26A7"/>
    <w:rsid w:val="003D4E07"/>
    <w:rsid w:val="003E3F8A"/>
    <w:rsid w:val="003F31D3"/>
    <w:rsid w:val="003F53FC"/>
    <w:rsid w:val="00400261"/>
    <w:rsid w:val="00404D40"/>
    <w:rsid w:val="00422068"/>
    <w:rsid w:val="00426360"/>
    <w:rsid w:val="00433056"/>
    <w:rsid w:val="0043332F"/>
    <w:rsid w:val="00442CDC"/>
    <w:rsid w:val="00446080"/>
    <w:rsid w:val="00452201"/>
    <w:rsid w:val="00456027"/>
    <w:rsid w:val="0045779E"/>
    <w:rsid w:val="00462BF7"/>
    <w:rsid w:val="00464003"/>
    <w:rsid w:val="004666B3"/>
    <w:rsid w:val="004670BF"/>
    <w:rsid w:val="004734BA"/>
    <w:rsid w:val="004815E0"/>
    <w:rsid w:val="00481C0B"/>
    <w:rsid w:val="00482846"/>
    <w:rsid w:val="00484866"/>
    <w:rsid w:val="00490632"/>
    <w:rsid w:val="00492FF8"/>
    <w:rsid w:val="004932D0"/>
    <w:rsid w:val="004A5E7E"/>
    <w:rsid w:val="004B1CF8"/>
    <w:rsid w:val="004C68D2"/>
    <w:rsid w:val="004C7547"/>
    <w:rsid w:val="004C7B47"/>
    <w:rsid w:val="004D0898"/>
    <w:rsid w:val="004D0B01"/>
    <w:rsid w:val="004D3B85"/>
    <w:rsid w:val="004E1B00"/>
    <w:rsid w:val="004E3EA0"/>
    <w:rsid w:val="004E509E"/>
    <w:rsid w:val="004E5752"/>
    <w:rsid w:val="004E5F1D"/>
    <w:rsid w:val="004F5F37"/>
    <w:rsid w:val="004F6CD5"/>
    <w:rsid w:val="00507901"/>
    <w:rsid w:val="00525A21"/>
    <w:rsid w:val="00525C8D"/>
    <w:rsid w:val="00527BD9"/>
    <w:rsid w:val="0054304E"/>
    <w:rsid w:val="0054388C"/>
    <w:rsid w:val="00557226"/>
    <w:rsid w:val="0056398B"/>
    <w:rsid w:val="00572199"/>
    <w:rsid w:val="00575B95"/>
    <w:rsid w:val="005760D9"/>
    <w:rsid w:val="00580EB4"/>
    <w:rsid w:val="00582668"/>
    <w:rsid w:val="00585255"/>
    <w:rsid w:val="00586782"/>
    <w:rsid w:val="005872FF"/>
    <w:rsid w:val="00596739"/>
    <w:rsid w:val="00597596"/>
    <w:rsid w:val="005A0CEA"/>
    <w:rsid w:val="005A2D96"/>
    <w:rsid w:val="005A732F"/>
    <w:rsid w:val="005B041C"/>
    <w:rsid w:val="005B3FAE"/>
    <w:rsid w:val="005B492B"/>
    <w:rsid w:val="005C78F7"/>
    <w:rsid w:val="005D702F"/>
    <w:rsid w:val="005E035E"/>
    <w:rsid w:val="005F156E"/>
    <w:rsid w:val="005F1CE2"/>
    <w:rsid w:val="005F685F"/>
    <w:rsid w:val="00600433"/>
    <w:rsid w:val="00602853"/>
    <w:rsid w:val="00604197"/>
    <w:rsid w:val="00605248"/>
    <w:rsid w:val="0061455F"/>
    <w:rsid w:val="0061617D"/>
    <w:rsid w:val="0062415E"/>
    <w:rsid w:val="00635E6C"/>
    <w:rsid w:val="00646B4F"/>
    <w:rsid w:val="00651795"/>
    <w:rsid w:val="00651FC6"/>
    <w:rsid w:val="00660080"/>
    <w:rsid w:val="00662676"/>
    <w:rsid w:val="0067037F"/>
    <w:rsid w:val="00671066"/>
    <w:rsid w:val="00671192"/>
    <w:rsid w:val="006725F1"/>
    <w:rsid w:val="00677920"/>
    <w:rsid w:val="0068188E"/>
    <w:rsid w:val="006919DC"/>
    <w:rsid w:val="006935BE"/>
    <w:rsid w:val="006942A1"/>
    <w:rsid w:val="0069540E"/>
    <w:rsid w:val="006A07DD"/>
    <w:rsid w:val="006A441A"/>
    <w:rsid w:val="006B2026"/>
    <w:rsid w:val="006C2EE4"/>
    <w:rsid w:val="006C30F1"/>
    <w:rsid w:val="006D0A5D"/>
    <w:rsid w:val="006D7578"/>
    <w:rsid w:val="006E1145"/>
    <w:rsid w:val="006E3A68"/>
    <w:rsid w:val="006E5133"/>
    <w:rsid w:val="006E7833"/>
    <w:rsid w:val="006F244A"/>
    <w:rsid w:val="006F3093"/>
    <w:rsid w:val="006F4FF3"/>
    <w:rsid w:val="007032D6"/>
    <w:rsid w:val="00704A8E"/>
    <w:rsid w:val="007055D3"/>
    <w:rsid w:val="00707EE5"/>
    <w:rsid w:val="0071679B"/>
    <w:rsid w:val="00721079"/>
    <w:rsid w:val="00727682"/>
    <w:rsid w:val="00734437"/>
    <w:rsid w:val="007418E6"/>
    <w:rsid w:val="00743F34"/>
    <w:rsid w:val="00744146"/>
    <w:rsid w:val="00745A9A"/>
    <w:rsid w:val="00763350"/>
    <w:rsid w:val="00765CF2"/>
    <w:rsid w:val="00765D30"/>
    <w:rsid w:val="00781389"/>
    <w:rsid w:val="0079603C"/>
    <w:rsid w:val="007971C1"/>
    <w:rsid w:val="007A1209"/>
    <w:rsid w:val="007A40F0"/>
    <w:rsid w:val="007C2556"/>
    <w:rsid w:val="007C55EF"/>
    <w:rsid w:val="007D3F1F"/>
    <w:rsid w:val="007D59DD"/>
    <w:rsid w:val="007D627C"/>
    <w:rsid w:val="007D69D9"/>
    <w:rsid w:val="007F619E"/>
    <w:rsid w:val="007F756C"/>
    <w:rsid w:val="0080169C"/>
    <w:rsid w:val="00806AF3"/>
    <w:rsid w:val="0081107A"/>
    <w:rsid w:val="00812203"/>
    <w:rsid w:val="0081616D"/>
    <w:rsid w:val="00820025"/>
    <w:rsid w:val="00825156"/>
    <w:rsid w:val="008253F6"/>
    <w:rsid w:val="0082611A"/>
    <w:rsid w:val="00831DE0"/>
    <w:rsid w:val="00834353"/>
    <w:rsid w:val="0083518B"/>
    <w:rsid w:val="00835EB3"/>
    <w:rsid w:val="00835FF1"/>
    <w:rsid w:val="00836191"/>
    <w:rsid w:val="00840E7C"/>
    <w:rsid w:val="008428B0"/>
    <w:rsid w:val="00844968"/>
    <w:rsid w:val="0085264C"/>
    <w:rsid w:val="008577BF"/>
    <w:rsid w:val="00871866"/>
    <w:rsid w:val="0087413C"/>
    <w:rsid w:val="00874ACE"/>
    <w:rsid w:val="00874BE4"/>
    <w:rsid w:val="00875778"/>
    <w:rsid w:val="00891748"/>
    <w:rsid w:val="008936B7"/>
    <w:rsid w:val="00895B30"/>
    <w:rsid w:val="008C20CA"/>
    <w:rsid w:val="008C567A"/>
    <w:rsid w:val="008E2C7F"/>
    <w:rsid w:val="008F4589"/>
    <w:rsid w:val="00905730"/>
    <w:rsid w:val="00907346"/>
    <w:rsid w:val="00930C51"/>
    <w:rsid w:val="00945B02"/>
    <w:rsid w:val="00952AE9"/>
    <w:rsid w:val="009532E0"/>
    <w:rsid w:val="00957793"/>
    <w:rsid w:val="00964B66"/>
    <w:rsid w:val="00966076"/>
    <w:rsid w:val="00971C79"/>
    <w:rsid w:val="0097630F"/>
    <w:rsid w:val="00976B53"/>
    <w:rsid w:val="00982EA8"/>
    <w:rsid w:val="0098327A"/>
    <w:rsid w:val="009835FC"/>
    <w:rsid w:val="00997C89"/>
    <w:rsid w:val="009A45F2"/>
    <w:rsid w:val="009A47CB"/>
    <w:rsid w:val="009A6DDA"/>
    <w:rsid w:val="009D719B"/>
    <w:rsid w:val="009E5E40"/>
    <w:rsid w:val="009F185C"/>
    <w:rsid w:val="00A03BCC"/>
    <w:rsid w:val="00A230AB"/>
    <w:rsid w:val="00A238BE"/>
    <w:rsid w:val="00A24B64"/>
    <w:rsid w:val="00A4120F"/>
    <w:rsid w:val="00A4668D"/>
    <w:rsid w:val="00A51862"/>
    <w:rsid w:val="00A52900"/>
    <w:rsid w:val="00A5340C"/>
    <w:rsid w:val="00A57E13"/>
    <w:rsid w:val="00A630D2"/>
    <w:rsid w:val="00A656A7"/>
    <w:rsid w:val="00A65815"/>
    <w:rsid w:val="00A7115E"/>
    <w:rsid w:val="00A74227"/>
    <w:rsid w:val="00A802DC"/>
    <w:rsid w:val="00A83B4A"/>
    <w:rsid w:val="00A84572"/>
    <w:rsid w:val="00A90A20"/>
    <w:rsid w:val="00A95332"/>
    <w:rsid w:val="00AA01F6"/>
    <w:rsid w:val="00AA7D7E"/>
    <w:rsid w:val="00AC01B8"/>
    <w:rsid w:val="00AC1FA5"/>
    <w:rsid w:val="00AC4168"/>
    <w:rsid w:val="00AC4289"/>
    <w:rsid w:val="00AC6BFE"/>
    <w:rsid w:val="00AD06A0"/>
    <w:rsid w:val="00AD4A18"/>
    <w:rsid w:val="00AE0357"/>
    <w:rsid w:val="00AE038E"/>
    <w:rsid w:val="00AF0043"/>
    <w:rsid w:val="00AF142C"/>
    <w:rsid w:val="00AF60B5"/>
    <w:rsid w:val="00AF697C"/>
    <w:rsid w:val="00B0038B"/>
    <w:rsid w:val="00B05014"/>
    <w:rsid w:val="00B07EDE"/>
    <w:rsid w:val="00B11E9A"/>
    <w:rsid w:val="00B124C2"/>
    <w:rsid w:val="00B165D9"/>
    <w:rsid w:val="00B25E6D"/>
    <w:rsid w:val="00B27076"/>
    <w:rsid w:val="00B36222"/>
    <w:rsid w:val="00B371E4"/>
    <w:rsid w:val="00B401E4"/>
    <w:rsid w:val="00B418AA"/>
    <w:rsid w:val="00B42FED"/>
    <w:rsid w:val="00B5187C"/>
    <w:rsid w:val="00B5711E"/>
    <w:rsid w:val="00B60738"/>
    <w:rsid w:val="00B60977"/>
    <w:rsid w:val="00B71242"/>
    <w:rsid w:val="00B72FDF"/>
    <w:rsid w:val="00B73372"/>
    <w:rsid w:val="00B74C2E"/>
    <w:rsid w:val="00B75001"/>
    <w:rsid w:val="00B7760F"/>
    <w:rsid w:val="00B803BB"/>
    <w:rsid w:val="00B807D6"/>
    <w:rsid w:val="00B902D6"/>
    <w:rsid w:val="00B9225A"/>
    <w:rsid w:val="00B92AA9"/>
    <w:rsid w:val="00BA3F56"/>
    <w:rsid w:val="00BB1697"/>
    <w:rsid w:val="00BB7125"/>
    <w:rsid w:val="00BB7F3C"/>
    <w:rsid w:val="00BC111A"/>
    <w:rsid w:val="00BC1928"/>
    <w:rsid w:val="00BC3241"/>
    <w:rsid w:val="00BC61B6"/>
    <w:rsid w:val="00BC70C9"/>
    <w:rsid w:val="00BD337C"/>
    <w:rsid w:val="00BD5622"/>
    <w:rsid w:val="00BF022B"/>
    <w:rsid w:val="00BF418D"/>
    <w:rsid w:val="00C024A0"/>
    <w:rsid w:val="00C03302"/>
    <w:rsid w:val="00C060ED"/>
    <w:rsid w:val="00C109EE"/>
    <w:rsid w:val="00C10F74"/>
    <w:rsid w:val="00C13E2D"/>
    <w:rsid w:val="00C157EC"/>
    <w:rsid w:val="00C159BF"/>
    <w:rsid w:val="00C25031"/>
    <w:rsid w:val="00C26FD0"/>
    <w:rsid w:val="00C31D44"/>
    <w:rsid w:val="00C40A52"/>
    <w:rsid w:val="00C41B0D"/>
    <w:rsid w:val="00C43D7F"/>
    <w:rsid w:val="00C44E0F"/>
    <w:rsid w:val="00C52DBA"/>
    <w:rsid w:val="00C577AB"/>
    <w:rsid w:val="00C77B3C"/>
    <w:rsid w:val="00C82D41"/>
    <w:rsid w:val="00CA3C57"/>
    <w:rsid w:val="00CA6807"/>
    <w:rsid w:val="00CC32AD"/>
    <w:rsid w:val="00CC4852"/>
    <w:rsid w:val="00CC4B17"/>
    <w:rsid w:val="00CD586E"/>
    <w:rsid w:val="00CE5952"/>
    <w:rsid w:val="00CE714F"/>
    <w:rsid w:val="00CF275A"/>
    <w:rsid w:val="00CF74E8"/>
    <w:rsid w:val="00D10714"/>
    <w:rsid w:val="00D117BC"/>
    <w:rsid w:val="00D119E3"/>
    <w:rsid w:val="00D178B4"/>
    <w:rsid w:val="00D30034"/>
    <w:rsid w:val="00D40176"/>
    <w:rsid w:val="00D46A34"/>
    <w:rsid w:val="00D57842"/>
    <w:rsid w:val="00D57FA2"/>
    <w:rsid w:val="00D60D5A"/>
    <w:rsid w:val="00D67615"/>
    <w:rsid w:val="00D75C4F"/>
    <w:rsid w:val="00D7689F"/>
    <w:rsid w:val="00D77CFE"/>
    <w:rsid w:val="00D84FD6"/>
    <w:rsid w:val="00D90A0E"/>
    <w:rsid w:val="00D92479"/>
    <w:rsid w:val="00D9294F"/>
    <w:rsid w:val="00D97313"/>
    <w:rsid w:val="00D97B57"/>
    <w:rsid w:val="00DA0A72"/>
    <w:rsid w:val="00DA2D93"/>
    <w:rsid w:val="00DA4CE7"/>
    <w:rsid w:val="00DC2E0F"/>
    <w:rsid w:val="00DC71C1"/>
    <w:rsid w:val="00DD1B2F"/>
    <w:rsid w:val="00DD2F3E"/>
    <w:rsid w:val="00DD73A4"/>
    <w:rsid w:val="00DE2A8E"/>
    <w:rsid w:val="00DE3C88"/>
    <w:rsid w:val="00DE6D97"/>
    <w:rsid w:val="00DF3843"/>
    <w:rsid w:val="00DF5E40"/>
    <w:rsid w:val="00E01259"/>
    <w:rsid w:val="00E01C78"/>
    <w:rsid w:val="00E21651"/>
    <w:rsid w:val="00E22799"/>
    <w:rsid w:val="00E26DE0"/>
    <w:rsid w:val="00E426C9"/>
    <w:rsid w:val="00E519A4"/>
    <w:rsid w:val="00E55918"/>
    <w:rsid w:val="00E60D02"/>
    <w:rsid w:val="00E61893"/>
    <w:rsid w:val="00E64353"/>
    <w:rsid w:val="00E733AE"/>
    <w:rsid w:val="00E74331"/>
    <w:rsid w:val="00E84072"/>
    <w:rsid w:val="00E84BED"/>
    <w:rsid w:val="00E878B8"/>
    <w:rsid w:val="00E90BA5"/>
    <w:rsid w:val="00E94238"/>
    <w:rsid w:val="00EA7EC9"/>
    <w:rsid w:val="00EC4075"/>
    <w:rsid w:val="00EC6D71"/>
    <w:rsid w:val="00EC74A6"/>
    <w:rsid w:val="00ED5EBB"/>
    <w:rsid w:val="00ED6B56"/>
    <w:rsid w:val="00EE15C7"/>
    <w:rsid w:val="00EE3E9F"/>
    <w:rsid w:val="00EF0487"/>
    <w:rsid w:val="00EF0596"/>
    <w:rsid w:val="00EF0AA3"/>
    <w:rsid w:val="00EF2E98"/>
    <w:rsid w:val="00EF4452"/>
    <w:rsid w:val="00EF5588"/>
    <w:rsid w:val="00F0005A"/>
    <w:rsid w:val="00F0514B"/>
    <w:rsid w:val="00F10127"/>
    <w:rsid w:val="00F1432D"/>
    <w:rsid w:val="00F161D7"/>
    <w:rsid w:val="00F17712"/>
    <w:rsid w:val="00F2491B"/>
    <w:rsid w:val="00F27458"/>
    <w:rsid w:val="00F30749"/>
    <w:rsid w:val="00F326FF"/>
    <w:rsid w:val="00F3678D"/>
    <w:rsid w:val="00F43E05"/>
    <w:rsid w:val="00F473BD"/>
    <w:rsid w:val="00F57E20"/>
    <w:rsid w:val="00F60D87"/>
    <w:rsid w:val="00F63625"/>
    <w:rsid w:val="00F72158"/>
    <w:rsid w:val="00F72BC3"/>
    <w:rsid w:val="00F80056"/>
    <w:rsid w:val="00F8065E"/>
    <w:rsid w:val="00F8481E"/>
    <w:rsid w:val="00F862B7"/>
    <w:rsid w:val="00F87552"/>
    <w:rsid w:val="00F87930"/>
    <w:rsid w:val="00F96533"/>
    <w:rsid w:val="00FA18F3"/>
    <w:rsid w:val="00FA1F56"/>
    <w:rsid w:val="00FA6454"/>
    <w:rsid w:val="00FB1872"/>
    <w:rsid w:val="00FB1A44"/>
    <w:rsid w:val="00FB1D13"/>
    <w:rsid w:val="00FB1DAF"/>
    <w:rsid w:val="00FB4C9E"/>
    <w:rsid w:val="00FB514D"/>
    <w:rsid w:val="00FB58FB"/>
    <w:rsid w:val="00FC0F7E"/>
    <w:rsid w:val="00FD0415"/>
    <w:rsid w:val="00FD2BCA"/>
    <w:rsid w:val="00FD63FA"/>
    <w:rsid w:val="00FE056D"/>
    <w:rsid w:val="00FE304F"/>
    <w:rsid w:val="00FE43D3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77B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7B3C"/>
  </w:style>
  <w:style w:type="character" w:customStyle="1" w:styleId="CommentTextChar">
    <w:name w:val="Comment Text Char"/>
    <w:basedOn w:val="DefaultParagraphFont"/>
    <w:link w:val="CommentText"/>
    <w:semiHidden/>
    <w:rsid w:val="00C77B3C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77B3C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B3C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7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B3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77B3C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77B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7B3C"/>
  </w:style>
  <w:style w:type="character" w:customStyle="1" w:styleId="CommentTextChar">
    <w:name w:val="Comment Text Char"/>
    <w:basedOn w:val="DefaultParagraphFont"/>
    <w:link w:val="CommentText"/>
    <w:semiHidden/>
    <w:rsid w:val="00C77B3C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77B3C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7B3C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7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B3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77B3C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SXMW7HPC</dc:creator>
  <cp:lastModifiedBy>pati-svc</cp:lastModifiedBy>
  <cp:revision>2</cp:revision>
  <dcterms:created xsi:type="dcterms:W3CDTF">2015-06-15T14:00:00Z</dcterms:created>
  <dcterms:modified xsi:type="dcterms:W3CDTF">2015-06-15T14:00:00Z</dcterms:modified>
</cp:coreProperties>
</file>