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CD" w:rsidRPr="00291913" w:rsidRDefault="00496BCD" w:rsidP="00496BCD">
      <w:pPr>
        <w:pStyle w:val="PlainText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291913">
        <w:rPr>
          <w:rFonts w:ascii="Calibri" w:hAnsi="Calibri" w:cs="Calibri"/>
          <w:b/>
          <w:sz w:val="28"/>
          <w:szCs w:val="28"/>
        </w:rPr>
        <w:t>TECBAR</w:t>
      </w:r>
    </w:p>
    <w:p w:rsidR="00496BCD" w:rsidRDefault="00496BCD" w:rsidP="00496BCD">
      <w:pPr>
        <w:pStyle w:val="PlainText"/>
        <w:jc w:val="center"/>
        <w:rPr>
          <w:rFonts w:ascii="Calibri" w:hAnsi="Calibri" w:cs="Calibri"/>
          <w:b/>
          <w:sz w:val="22"/>
          <w:szCs w:val="22"/>
        </w:rPr>
      </w:pPr>
      <w:r w:rsidRPr="00050DBD">
        <w:rPr>
          <w:rFonts w:ascii="Calibri" w:hAnsi="Calibri" w:cs="Calibri"/>
          <w:b/>
          <w:sz w:val="22"/>
          <w:szCs w:val="22"/>
        </w:rPr>
        <w:t xml:space="preserve">ANNEX </w:t>
      </w:r>
      <w:r>
        <w:rPr>
          <w:rFonts w:ascii="Calibri" w:hAnsi="Calibri" w:cs="Calibri"/>
          <w:b/>
          <w:sz w:val="22"/>
          <w:szCs w:val="22"/>
        </w:rPr>
        <w:t xml:space="preserve">3 </w:t>
      </w:r>
      <w:r w:rsidRPr="00050DBD">
        <w:rPr>
          <w:rFonts w:ascii="Calibri" w:hAnsi="Calibri" w:cs="Calibri"/>
          <w:b/>
          <w:sz w:val="22"/>
          <w:szCs w:val="22"/>
        </w:rPr>
        <w:t>TO EQUALITY &amp; DIVERSITY POLICY</w:t>
      </w:r>
    </w:p>
    <w:p w:rsidR="00496BCD" w:rsidRPr="00050DBD" w:rsidRDefault="00496BCD" w:rsidP="00496BCD">
      <w:pPr>
        <w:pStyle w:val="PlainText"/>
        <w:jc w:val="center"/>
        <w:rPr>
          <w:rFonts w:ascii="Calibri" w:hAnsi="Calibri" w:cs="Calibri"/>
          <w:b/>
          <w:sz w:val="22"/>
          <w:szCs w:val="22"/>
        </w:rPr>
      </w:pPr>
    </w:p>
    <w:p w:rsidR="00496BCD" w:rsidRPr="00050DBD" w:rsidRDefault="00496BCD" w:rsidP="00496BCD">
      <w:pPr>
        <w:pStyle w:val="PlainText"/>
        <w:jc w:val="center"/>
        <w:rPr>
          <w:rFonts w:ascii="Calibri" w:hAnsi="Calibri" w:cs="Calibri"/>
          <w:b/>
          <w:sz w:val="22"/>
          <w:szCs w:val="22"/>
        </w:rPr>
      </w:pPr>
      <w:r w:rsidRPr="00050DBD">
        <w:rPr>
          <w:rFonts w:ascii="Calibri" w:hAnsi="Calibri" w:cs="Calibri"/>
          <w:b/>
          <w:sz w:val="22"/>
          <w:szCs w:val="22"/>
        </w:rPr>
        <w:t>Reasonable Adjustments Policy</w:t>
      </w:r>
    </w:p>
    <w:p w:rsidR="00496BCD" w:rsidRPr="00050DBD" w:rsidRDefault="00496BCD" w:rsidP="00496BCD">
      <w:pPr>
        <w:pStyle w:val="ListParagraph"/>
        <w:keepLines w:val="0"/>
        <w:ind w:left="0"/>
        <w:rPr>
          <w:rFonts w:ascii="Calibri" w:hAnsi="Calibri" w:cs="Calibri"/>
          <w:szCs w:val="22"/>
        </w:rPr>
      </w:pPr>
    </w:p>
    <w:p w:rsidR="00496BCD" w:rsidRDefault="00496BCD" w:rsidP="00496BCD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  <w:szCs w:val="22"/>
        </w:rPr>
      </w:pPr>
      <w:r w:rsidRPr="00050DBD">
        <w:rPr>
          <w:rFonts w:ascii="Calibri" w:hAnsi="Calibri" w:cs="Calibri"/>
          <w:szCs w:val="22"/>
        </w:rPr>
        <w:t xml:space="preserve">This is the </w:t>
      </w:r>
      <w:r>
        <w:rPr>
          <w:rFonts w:ascii="Calibri" w:hAnsi="Calibri" w:cs="Calibri"/>
          <w:szCs w:val="22"/>
        </w:rPr>
        <w:t>TECBAR R</w:t>
      </w:r>
      <w:r w:rsidRPr="00050DBD">
        <w:rPr>
          <w:rFonts w:ascii="Calibri" w:hAnsi="Calibri" w:cs="Calibri"/>
          <w:szCs w:val="22"/>
        </w:rPr>
        <w:t>easonable Adjustments Policy, and should be read in conjun</w:t>
      </w:r>
      <w:r>
        <w:rPr>
          <w:rFonts w:ascii="Calibri" w:hAnsi="Calibri" w:cs="Calibri"/>
          <w:szCs w:val="22"/>
        </w:rPr>
        <w:t xml:space="preserve">ction with the TECBAR </w:t>
      </w:r>
      <w:r w:rsidRPr="00050DBD">
        <w:rPr>
          <w:rFonts w:ascii="Calibri" w:hAnsi="Calibri" w:cs="Calibri"/>
          <w:szCs w:val="22"/>
        </w:rPr>
        <w:t>Equality &amp; Diversity Policy</w:t>
      </w:r>
      <w:r>
        <w:rPr>
          <w:rFonts w:ascii="Calibri" w:hAnsi="Calibri" w:cs="Calibri"/>
          <w:szCs w:val="22"/>
        </w:rPr>
        <w:t xml:space="preserve"> (“the E&amp;D Policy”)</w:t>
      </w:r>
      <w:r w:rsidRPr="00050DBD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The definitions and abbreviations used in the E&amp;D Policy are also adopted herein</w:t>
      </w:r>
    </w:p>
    <w:p w:rsidR="00496BCD" w:rsidRDefault="00496BCD" w:rsidP="00496BCD">
      <w:pPr>
        <w:pStyle w:val="ListParagraph"/>
        <w:keepLines w:val="0"/>
        <w:ind w:left="709"/>
        <w:rPr>
          <w:rFonts w:ascii="Calibri" w:hAnsi="Calibri" w:cs="Calibri"/>
          <w:szCs w:val="22"/>
        </w:rPr>
      </w:pPr>
    </w:p>
    <w:p w:rsidR="00496BCD" w:rsidRPr="00050DBD" w:rsidRDefault="00496BCD" w:rsidP="00496BCD">
      <w:pPr>
        <w:pStyle w:val="ListParagraph"/>
        <w:keepLines w:val="0"/>
        <w:ind w:left="709" w:hanging="709"/>
        <w:rPr>
          <w:rFonts w:ascii="Calibri" w:hAnsi="Calibri" w:cs="Calibri"/>
          <w:szCs w:val="22"/>
        </w:rPr>
      </w:pPr>
    </w:p>
    <w:p w:rsidR="00496BCD" w:rsidRPr="00016EB1" w:rsidRDefault="00496BCD" w:rsidP="00496BCD">
      <w:pPr>
        <w:pStyle w:val="ListParagraph"/>
        <w:ind w:left="709" w:hanging="709"/>
        <w:rPr>
          <w:rFonts w:ascii="Calibri" w:hAnsi="Calibri" w:cs="Calibri"/>
          <w:b/>
          <w:szCs w:val="22"/>
        </w:rPr>
      </w:pPr>
      <w:r w:rsidRPr="00016EB1">
        <w:rPr>
          <w:rFonts w:ascii="Calibri" w:hAnsi="Calibri" w:cs="Calibri"/>
          <w:b/>
          <w:szCs w:val="22"/>
        </w:rPr>
        <w:t>Aim and remit of policy</w:t>
      </w:r>
    </w:p>
    <w:p w:rsidR="00496BCD" w:rsidRPr="00050DBD" w:rsidRDefault="00496BCD" w:rsidP="00496BCD">
      <w:pPr>
        <w:pStyle w:val="ListParagraph"/>
        <w:keepLines w:val="0"/>
        <w:ind w:left="709" w:hanging="709"/>
        <w:rPr>
          <w:rFonts w:ascii="Calibri" w:hAnsi="Calibri" w:cs="Calibri"/>
          <w:szCs w:val="22"/>
        </w:rPr>
      </w:pPr>
    </w:p>
    <w:p w:rsidR="00496BCD" w:rsidRPr="00050DBD" w:rsidRDefault="00496BCD" w:rsidP="00496BCD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The</w:t>
      </w:r>
      <w:r w:rsidRPr="00050DBD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TECBAR Committee</w:t>
      </w:r>
      <w:r w:rsidRPr="00050DBD">
        <w:rPr>
          <w:rFonts w:ascii="Calibri" w:hAnsi="Calibri" w:cs="Calibri"/>
          <w:szCs w:val="22"/>
        </w:rPr>
        <w:t xml:space="preserve"> wishes to </w:t>
      </w:r>
      <w:r>
        <w:rPr>
          <w:rFonts w:ascii="Calibri" w:hAnsi="Calibri" w:cs="Calibri"/>
          <w:szCs w:val="22"/>
        </w:rPr>
        <w:t>ensure it complies with the regulatory requirements of the Bar Standards Board applicable to specialist bar associations.</w:t>
      </w:r>
    </w:p>
    <w:p w:rsidR="00496BCD" w:rsidRPr="00050DBD" w:rsidRDefault="00496BCD" w:rsidP="00496BCD">
      <w:pPr>
        <w:pStyle w:val="ListParagraph"/>
        <w:keepLines w:val="0"/>
        <w:ind w:left="709"/>
        <w:rPr>
          <w:rFonts w:ascii="Calibri" w:hAnsi="Calibri" w:cs="Calibri"/>
          <w:szCs w:val="22"/>
        </w:rPr>
      </w:pPr>
    </w:p>
    <w:p w:rsidR="00496BCD" w:rsidRDefault="00496BCD" w:rsidP="00496BCD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TECBAR, via the TECBAR Committee, </w:t>
      </w:r>
      <w:r w:rsidRPr="00050DBD">
        <w:rPr>
          <w:rFonts w:ascii="Calibri" w:hAnsi="Calibri" w:cs="Calibri"/>
          <w:szCs w:val="22"/>
        </w:rPr>
        <w:t xml:space="preserve">is committed to making reasonable adjustments in order to remove or reduce substantial disadvantage for disabled people working with </w:t>
      </w:r>
      <w:r>
        <w:rPr>
          <w:rFonts w:ascii="Calibri" w:hAnsi="Calibri" w:cs="Calibri"/>
          <w:szCs w:val="22"/>
        </w:rPr>
        <w:t>TECBAR</w:t>
      </w:r>
      <w:r w:rsidRPr="00050DBD">
        <w:rPr>
          <w:rFonts w:ascii="Calibri" w:hAnsi="Calibri" w:cs="Calibri"/>
          <w:szCs w:val="22"/>
        </w:rPr>
        <w:t xml:space="preserve"> or receiving</w:t>
      </w:r>
      <w:r>
        <w:rPr>
          <w:rFonts w:ascii="Calibri" w:hAnsi="Calibri" w:cs="Calibri"/>
          <w:szCs w:val="22"/>
        </w:rPr>
        <w:t xml:space="preserve"> </w:t>
      </w:r>
      <w:r w:rsidRPr="00050DBD">
        <w:rPr>
          <w:rFonts w:ascii="Calibri" w:hAnsi="Calibri" w:cs="Calibri"/>
          <w:szCs w:val="22"/>
        </w:rPr>
        <w:t>services</w:t>
      </w:r>
      <w:r>
        <w:rPr>
          <w:rFonts w:ascii="Calibri" w:hAnsi="Calibri" w:cs="Calibri"/>
          <w:szCs w:val="22"/>
        </w:rPr>
        <w:t xml:space="preserve"> via TECBAR</w:t>
      </w:r>
      <w:r w:rsidRPr="00050DBD">
        <w:rPr>
          <w:rFonts w:ascii="Calibri" w:hAnsi="Calibri" w:cs="Calibri"/>
          <w:szCs w:val="22"/>
        </w:rPr>
        <w:t xml:space="preserve">.  </w:t>
      </w:r>
    </w:p>
    <w:p w:rsidR="00496BCD" w:rsidRPr="00684CD0" w:rsidRDefault="00496BCD" w:rsidP="00496BCD">
      <w:pPr>
        <w:pStyle w:val="ListParagraph"/>
        <w:rPr>
          <w:rFonts w:ascii="Calibri" w:hAnsi="Calibri" w:cs="Calibri"/>
          <w:szCs w:val="22"/>
        </w:rPr>
      </w:pPr>
    </w:p>
    <w:p w:rsidR="00496BCD" w:rsidRPr="00050DBD" w:rsidRDefault="00496BCD" w:rsidP="00496BCD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  <w:szCs w:val="22"/>
        </w:rPr>
      </w:pPr>
      <w:r w:rsidRPr="00050DBD">
        <w:rPr>
          <w:rFonts w:ascii="Calibri" w:hAnsi="Calibri" w:cs="Calibri"/>
          <w:szCs w:val="22"/>
        </w:rPr>
        <w:t xml:space="preserve">This policy covers all </w:t>
      </w:r>
      <w:r>
        <w:rPr>
          <w:rFonts w:ascii="Calibri" w:hAnsi="Calibri" w:cs="Calibri"/>
          <w:szCs w:val="22"/>
        </w:rPr>
        <w:t xml:space="preserve">members </w:t>
      </w:r>
      <w:r w:rsidRPr="00050DBD">
        <w:rPr>
          <w:rFonts w:ascii="Calibri" w:hAnsi="Calibri" w:cs="Calibri"/>
          <w:szCs w:val="22"/>
        </w:rPr>
        <w:t xml:space="preserve">of </w:t>
      </w:r>
      <w:r>
        <w:rPr>
          <w:rFonts w:ascii="Calibri" w:hAnsi="Calibri" w:cs="Calibri"/>
          <w:szCs w:val="22"/>
        </w:rPr>
        <w:t xml:space="preserve">TECBAR, Committee Members, users of TECBAR services (including members’ pupils) and </w:t>
      </w:r>
      <w:r w:rsidRPr="00050DBD">
        <w:rPr>
          <w:rFonts w:ascii="Calibri" w:hAnsi="Calibri" w:cs="Calibri"/>
          <w:szCs w:val="22"/>
        </w:rPr>
        <w:t xml:space="preserve">visitors to </w:t>
      </w:r>
      <w:r>
        <w:rPr>
          <w:rFonts w:ascii="Calibri" w:hAnsi="Calibri" w:cs="Calibri"/>
          <w:szCs w:val="22"/>
        </w:rPr>
        <w:t>TECBAR events</w:t>
      </w:r>
      <w:r w:rsidRPr="00050DBD">
        <w:rPr>
          <w:rFonts w:ascii="Calibri" w:hAnsi="Calibri" w:cs="Calibri"/>
          <w:szCs w:val="22"/>
        </w:rPr>
        <w:t>.</w:t>
      </w:r>
    </w:p>
    <w:p w:rsidR="00496BCD" w:rsidRPr="00050DBD" w:rsidRDefault="00496BCD" w:rsidP="00496BCD">
      <w:pPr>
        <w:pStyle w:val="ListParagraph"/>
        <w:ind w:left="0"/>
        <w:rPr>
          <w:rFonts w:ascii="Calibri" w:hAnsi="Calibri" w:cs="Calibri"/>
          <w:szCs w:val="22"/>
        </w:rPr>
      </w:pPr>
    </w:p>
    <w:p w:rsidR="00496BCD" w:rsidRPr="00016EB1" w:rsidRDefault="00496BCD" w:rsidP="00496BCD">
      <w:pPr>
        <w:pStyle w:val="ListParagraph"/>
        <w:keepLines w:val="0"/>
        <w:ind w:left="0"/>
        <w:rPr>
          <w:rFonts w:ascii="Calibri" w:hAnsi="Calibri" w:cs="Calibri"/>
          <w:b/>
          <w:szCs w:val="22"/>
        </w:rPr>
      </w:pPr>
      <w:r w:rsidRPr="00016EB1">
        <w:rPr>
          <w:rFonts w:ascii="Calibri" w:hAnsi="Calibri" w:cs="Calibri"/>
          <w:b/>
          <w:szCs w:val="22"/>
        </w:rPr>
        <w:t>Circulation</w:t>
      </w:r>
    </w:p>
    <w:p w:rsidR="00496BCD" w:rsidRPr="00050DBD" w:rsidRDefault="00496BCD" w:rsidP="00496BCD">
      <w:pPr>
        <w:pStyle w:val="ListParagraph"/>
        <w:ind w:left="0"/>
        <w:rPr>
          <w:rFonts w:ascii="Calibri" w:hAnsi="Calibri" w:cs="Calibri"/>
          <w:szCs w:val="22"/>
        </w:rPr>
      </w:pPr>
    </w:p>
    <w:p w:rsidR="00496BCD" w:rsidRPr="00050DBD" w:rsidRDefault="00496BCD" w:rsidP="00496BCD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  <w:szCs w:val="22"/>
        </w:rPr>
      </w:pPr>
      <w:r w:rsidRPr="00050DBD">
        <w:rPr>
          <w:rFonts w:ascii="Calibri" w:hAnsi="Calibri" w:cs="Calibri"/>
          <w:szCs w:val="22"/>
        </w:rPr>
        <w:t xml:space="preserve">This policy </w:t>
      </w:r>
      <w:r>
        <w:rPr>
          <w:rFonts w:ascii="Calibri" w:hAnsi="Calibri" w:cs="Calibri"/>
          <w:szCs w:val="22"/>
        </w:rPr>
        <w:t>will be published on the TECBAR website.</w:t>
      </w:r>
    </w:p>
    <w:p w:rsidR="00496BCD" w:rsidRPr="00050DBD" w:rsidRDefault="00496BCD" w:rsidP="00496BCD">
      <w:pPr>
        <w:pStyle w:val="ListParagraph"/>
        <w:keepLines w:val="0"/>
        <w:ind w:left="0"/>
        <w:rPr>
          <w:rFonts w:ascii="Calibri" w:hAnsi="Calibri" w:cs="Calibri"/>
          <w:szCs w:val="22"/>
        </w:rPr>
      </w:pPr>
    </w:p>
    <w:p w:rsidR="00496BCD" w:rsidRPr="00016EB1" w:rsidRDefault="00496BCD" w:rsidP="00496BCD">
      <w:pPr>
        <w:pStyle w:val="ListParagraph"/>
        <w:ind w:left="0"/>
        <w:rPr>
          <w:rFonts w:ascii="Calibri" w:hAnsi="Calibri" w:cs="Calibri"/>
          <w:b/>
          <w:szCs w:val="22"/>
        </w:rPr>
      </w:pPr>
      <w:r w:rsidRPr="00016EB1">
        <w:rPr>
          <w:rFonts w:ascii="Calibri" w:hAnsi="Calibri" w:cs="Calibri"/>
          <w:b/>
          <w:szCs w:val="22"/>
        </w:rPr>
        <w:t>Definition of disability</w:t>
      </w:r>
    </w:p>
    <w:p w:rsidR="00496BCD" w:rsidRPr="00050DBD" w:rsidRDefault="00496BCD" w:rsidP="00496BCD">
      <w:pPr>
        <w:pStyle w:val="ListParagraph"/>
        <w:keepLines w:val="0"/>
        <w:ind w:left="0"/>
        <w:rPr>
          <w:rFonts w:ascii="Calibri" w:hAnsi="Calibri" w:cs="Calibri"/>
          <w:szCs w:val="22"/>
        </w:rPr>
      </w:pPr>
    </w:p>
    <w:p w:rsidR="00496BCD" w:rsidRPr="00050DBD" w:rsidRDefault="00496BCD" w:rsidP="00496BCD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  <w:szCs w:val="22"/>
        </w:rPr>
      </w:pPr>
      <w:r w:rsidRPr="00050DBD">
        <w:rPr>
          <w:rFonts w:ascii="Calibri" w:hAnsi="Calibri" w:cs="Calibri"/>
          <w:szCs w:val="22"/>
        </w:rPr>
        <w:t xml:space="preserve">For the purposes of this policy the definition of disability follows that set out in the Equality Act 2010 s.6.  A person is therefore disabled if s/he has a physical or mental impairment which has a substantial and long term adverse effect on his/her ability to carry out normal day-to-day activities.  “Substantial” means more than minor or trivial and “long term” means </w:t>
      </w:r>
      <w:r>
        <w:rPr>
          <w:rFonts w:ascii="Calibri" w:hAnsi="Calibri" w:cs="Calibri"/>
          <w:szCs w:val="22"/>
        </w:rPr>
        <w:t>“</w:t>
      </w:r>
      <w:r w:rsidRPr="00050DBD">
        <w:rPr>
          <w:rFonts w:ascii="Calibri" w:hAnsi="Calibri" w:cs="Calibri"/>
          <w:szCs w:val="22"/>
        </w:rPr>
        <w:t>12 months or more”.</w:t>
      </w:r>
    </w:p>
    <w:p w:rsidR="00496BCD" w:rsidRPr="00050DBD" w:rsidRDefault="00496BCD" w:rsidP="00496BCD">
      <w:pPr>
        <w:pStyle w:val="ListParagraph"/>
        <w:keepLines w:val="0"/>
        <w:ind w:left="0"/>
        <w:rPr>
          <w:rFonts w:ascii="Calibri" w:hAnsi="Calibri" w:cs="Calibri"/>
          <w:szCs w:val="22"/>
        </w:rPr>
      </w:pPr>
    </w:p>
    <w:p w:rsidR="00496BCD" w:rsidRPr="00016EB1" w:rsidRDefault="00496BCD" w:rsidP="00496BCD">
      <w:pPr>
        <w:pStyle w:val="ListParagraph"/>
        <w:ind w:left="0"/>
        <w:rPr>
          <w:rFonts w:ascii="Calibri" w:hAnsi="Calibri" w:cs="Calibri"/>
          <w:b/>
          <w:szCs w:val="22"/>
        </w:rPr>
      </w:pPr>
      <w:r w:rsidRPr="00016EB1">
        <w:rPr>
          <w:rFonts w:ascii="Calibri" w:hAnsi="Calibri" w:cs="Calibri"/>
          <w:b/>
          <w:szCs w:val="22"/>
        </w:rPr>
        <w:t>Types of reasonable adjustment</w:t>
      </w:r>
    </w:p>
    <w:p w:rsidR="00496BCD" w:rsidRPr="00050DBD" w:rsidRDefault="00496BCD" w:rsidP="00496BCD">
      <w:pPr>
        <w:pStyle w:val="ListParagraph"/>
        <w:keepLines w:val="0"/>
        <w:ind w:left="0"/>
        <w:rPr>
          <w:rFonts w:ascii="Calibri" w:hAnsi="Calibri" w:cs="Calibri"/>
          <w:szCs w:val="22"/>
        </w:rPr>
      </w:pPr>
    </w:p>
    <w:p w:rsidR="00496BCD" w:rsidRPr="00050DBD" w:rsidRDefault="00496BCD" w:rsidP="00496BCD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  <w:szCs w:val="22"/>
        </w:rPr>
      </w:pPr>
      <w:r w:rsidRPr="00050DBD">
        <w:rPr>
          <w:rFonts w:ascii="Calibri" w:hAnsi="Calibri" w:cs="Calibri"/>
          <w:szCs w:val="22"/>
        </w:rPr>
        <w:t>This policy does not provide an exhaustive list of the reasonable adjustments that</w:t>
      </w:r>
      <w:r>
        <w:rPr>
          <w:rFonts w:ascii="Calibri" w:hAnsi="Calibri" w:cs="Calibri"/>
          <w:szCs w:val="22"/>
        </w:rPr>
        <w:t xml:space="preserve"> TECBAR and/or the TECBAR Committee </w:t>
      </w:r>
      <w:r w:rsidRPr="00050DBD">
        <w:rPr>
          <w:rFonts w:ascii="Calibri" w:hAnsi="Calibri" w:cs="Calibri"/>
          <w:szCs w:val="22"/>
        </w:rPr>
        <w:t>w</w:t>
      </w:r>
      <w:r>
        <w:rPr>
          <w:rFonts w:ascii="Calibri" w:hAnsi="Calibri" w:cs="Calibri"/>
          <w:szCs w:val="22"/>
        </w:rPr>
        <w:t xml:space="preserve">ill make for members, </w:t>
      </w:r>
      <w:r w:rsidRPr="00050DBD">
        <w:rPr>
          <w:rFonts w:ascii="Calibri" w:hAnsi="Calibri" w:cs="Calibri"/>
          <w:szCs w:val="22"/>
        </w:rPr>
        <w:t>pupils or visitors however the following types of adjustment that may be made are listed below:</w:t>
      </w:r>
    </w:p>
    <w:p w:rsidR="00496BCD" w:rsidRPr="00050DBD" w:rsidRDefault="00496BCD" w:rsidP="00496BCD">
      <w:pPr>
        <w:pStyle w:val="ListParagraph"/>
        <w:keepLines w:val="0"/>
        <w:numPr>
          <w:ilvl w:val="1"/>
          <w:numId w:val="1"/>
        </w:numPr>
        <w:ind w:hanging="1157"/>
        <w:rPr>
          <w:rFonts w:ascii="Calibri" w:hAnsi="Calibri" w:cs="Calibri"/>
          <w:szCs w:val="22"/>
        </w:rPr>
      </w:pPr>
      <w:r w:rsidRPr="00050DBD">
        <w:rPr>
          <w:rFonts w:ascii="Calibri" w:hAnsi="Calibri" w:cs="Calibri"/>
          <w:szCs w:val="22"/>
        </w:rPr>
        <w:t>Provision of information in alternative formats, e.g. large print etc.</w:t>
      </w:r>
    </w:p>
    <w:p w:rsidR="00496BCD" w:rsidRPr="00050DBD" w:rsidRDefault="00496BCD" w:rsidP="00496BCD">
      <w:pPr>
        <w:pStyle w:val="ListParagraph"/>
        <w:keepLines w:val="0"/>
        <w:numPr>
          <w:ilvl w:val="1"/>
          <w:numId w:val="1"/>
        </w:numPr>
        <w:ind w:hanging="1157"/>
        <w:rPr>
          <w:rFonts w:ascii="Calibri" w:hAnsi="Calibri" w:cs="Calibri"/>
          <w:szCs w:val="22"/>
        </w:rPr>
      </w:pPr>
      <w:r w:rsidRPr="00050DBD">
        <w:rPr>
          <w:rFonts w:ascii="Calibri" w:hAnsi="Calibri" w:cs="Calibri"/>
          <w:szCs w:val="22"/>
        </w:rPr>
        <w:t>Provision of auxiliary aids e.g. induction loops.</w:t>
      </w:r>
    </w:p>
    <w:p w:rsidR="00496BCD" w:rsidRPr="00050DBD" w:rsidRDefault="00496BCD" w:rsidP="00496BCD">
      <w:pPr>
        <w:pStyle w:val="ListParagraph"/>
        <w:keepLines w:val="0"/>
        <w:numPr>
          <w:ilvl w:val="1"/>
          <w:numId w:val="1"/>
        </w:numPr>
        <w:ind w:hanging="1157"/>
        <w:rPr>
          <w:rFonts w:ascii="Calibri" w:hAnsi="Calibri" w:cs="Calibri"/>
          <w:szCs w:val="22"/>
        </w:rPr>
      </w:pPr>
      <w:r w:rsidRPr="00050DBD">
        <w:rPr>
          <w:rFonts w:ascii="Calibri" w:hAnsi="Calibri" w:cs="Calibri"/>
          <w:szCs w:val="22"/>
        </w:rPr>
        <w:t>Provision of accessible conference room facilities.</w:t>
      </w:r>
    </w:p>
    <w:p w:rsidR="00496BCD" w:rsidRPr="00050DBD" w:rsidRDefault="00496BCD" w:rsidP="00496BCD">
      <w:pPr>
        <w:pStyle w:val="ListParagraph"/>
        <w:keepLines w:val="0"/>
        <w:ind w:left="1866"/>
        <w:rPr>
          <w:rFonts w:ascii="Calibri" w:hAnsi="Calibri" w:cs="Calibri"/>
          <w:szCs w:val="22"/>
        </w:rPr>
      </w:pPr>
    </w:p>
    <w:p w:rsidR="00496BCD" w:rsidRPr="00050DBD" w:rsidRDefault="00496BCD" w:rsidP="00496BCD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  <w:szCs w:val="22"/>
        </w:rPr>
      </w:pPr>
      <w:r w:rsidRPr="00050DBD">
        <w:rPr>
          <w:rFonts w:ascii="Calibri" w:hAnsi="Calibri" w:cs="Calibri"/>
          <w:szCs w:val="22"/>
        </w:rPr>
        <w:t xml:space="preserve">When deciding whether an adjustment is reasonable, </w:t>
      </w:r>
      <w:r>
        <w:rPr>
          <w:rFonts w:ascii="Calibri" w:hAnsi="Calibri" w:cs="Calibri"/>
          <w:szCs w:val="22"/>
        </w:rPr>
        <w:t xml:space="preserve">TECBAR and/or the TECBAR Committee </w:t>
      </w:r>
      <w:r w:rsidRPr="00050DBD">
        <w:rPr>
          <w:rFonts w:ascii="Calibri" w:hAnsi="Calibri" w:cs="Calibri"/>
          <w:szCs w:val="22"/>
        </w:rPr>
        <w:t xml:space="preserve">will consider: </w:t>
      </w:r>
    </w:p>
    <w:p w:rsidR="00496BCD" w:rsidRPr="00050DBD" w:rsidRDefault="00496BCD" w:rsidP="00496BCD">
      <w:pPr>
        <w:pStyle w:val="ListParagraph"/>
        <w:keepLines w:val="0"/>
        <w:numPr>
          <w:ilvl w:val="1"/>
          <w:numId w:val="1"/>
        </w:numPr>
        <w:ind w:left="1418" w:hanging="709"/>
        <w:rPr>
          <w:rFonts w:ascii="Calibri" w:hAnsi="Calibri" w:cs="Calibri"/>
        </w:rPr>
      </w:pPr>
      <w:r w:rsidRPr="00050DBD">
        <w:rPr>
          <w:rFonts w:ascii="Calibri" w:hAnsi="Calibri" w:cs="Calibri"/>
          <w:szCs w:val="22"/>
        </w:rPr>
        <w:t>how</w:t>
      </w:r>
      <w:r w:rsidRPr="00050DBD">
        <w:rPr>
          <w:rFonts w:ascii="Calibri" w:hAnsi="Calibri" w:cs="Calibri"/>
        </w:rPr>
        <w:t xml:space="preserve"> effective the change will be in avoiding the disadvantage the disabled person would otherwise experience;</w:t>
      </w:r>
    </w:p>
    <w:p w:rsidR="00496BCD" w:rsidRPr="00050DBD" w:rsidRDefault="00496BCD" w:rsidP="00496BCD">
      <w:pPr>
        <w:pStyle w:val="ListParagraph"/>
        <w:keepLines w:val="0"/>
        <w:numPr>
          <w:ilvl w:val="1"/>
          <w:numId w:val="1"/>
        </w:numPr>
        <w:ind w:left="1418" w:hanging="709"/>
        <w:rPr>
          <w:rFonts w:ascii="Calibri" w:hAnsi="Calibri" w:cs="Calibri"/>
        </w:rPr>
      </w:pPr>
      <w:r w:rsidRPr="00050DBD">
        <w:rPr>
          <w:rFonts w:ascii="Calibri" w:hAnsi="Calibri" w:cs="Calibri"/>
        </w:rPr>
        <w:t>its practicality;</w:t>
      </w:r>
    </w:p>
    <w:p w:rsidR="00496BCD" w:rsidRPr="00050DBD" w:rsidRDefault="00496BCD" w:rsidP="00496BCD">
      <w:pPr>
        <w:pStyle w:val="ListParagraph"/>
        <w:keepLines w:val="0"/>
        <w:numPr>
          <w:ilvl w:val="1"/>
          <w:numId w:val="1"/>
        </w:numPr>
        <w:ind w:left="1418" w:hanging="709"/>
        <w:rPr>
          <w:rFonts w:ascii="Calibri" w:hAnsi="Calibri" w:cs="Calibri"/>
        </w:rPr>
      </w:pPr>
      <w:r w:rsidRPr="00050DBD">
        <w:rPr>
          <w:rFonts w:ascii="Calibri" w:hAnsi="Calibri" w:cs="Calibri"/>
        </w:rPr>
        <w:t>the cost;</w:t>
      </w:r>
    </w:p>
    <w:p w:rsidR="00496BCD" w:rsidRPr="00050DBD" w:rsidRDefault="00496BCD" w:rsidP="00496BCD">
      <w:pPr>
        <w:pStyle w:val="ListParagraph"/>
        <w:keepLines w:val="0"/>
        <w:numPr>
          <w:ilvl w:val="1"/>
          <w:numId w:val="1"/>
        </w:numPr>
        <w:ind w:left="1418" w:hanging="709"/>
        <w:rPr>
          <w:rFonts w:ascii="Calibri" w:hAnsi="Calibri" w:cs="Calibri"/>
        </w:rPr>
      </w:pPr>
      <w:r>
        <w:rPr>
          <w:rFonts w:ascii="Calibri" w:hAnsi="Calibri" w:cs="Calibri"/>
        </w:rPr>
        <w:t>TECBAR’s</w:t>
      </w:r>
      <w:r w:rsidRPr="00050DBD">
        <w:rPr>
          <w:rFonts w:ascii="Calibri" w:hAnsi="Calibri" w:cs="Calibri"/>
        </w:rPr>
        <w:t xml:space="preserve"> resources and size;</w:t>
      </w:r>
    </w:p>
    <w:p w:rsidR="00496BCD" w:rsidRPr="00050DBD" w:rsidRDefault="00496BCD" w:rsidP="00496BCD">
      <w:pPr>
        <w:pStyle w:val="ListParagraph"/>
        <w:keepLines w:val="0"/>
        <w:numPr>
          <w:ilvl w:val="1"/>
          <w:numId w:val="1"/>
        </w:numPr>
        <w:ind w:left="1418" w:hanging="709"/>
        <w:rPr>
          <w:rFonts w:ascii="Calibri" w:hAnsi="Calibri" w:cs="Calibri"/>
        </w:rPr>
      </w:pPr>
      <w:r w:rsidRPr="00050DBD">
        <w:rPr>
          <w:rFonts w:ascii="Calibri" w:hAnsi="Calibri" w:cs="Calibri"/>
        </w:rPr>
        <w:t>the availability of financial support;</w:t>
      </w:r>
    </w:p>
    <w:p w:rsidR="00496BCD" w:rsidRPr="00050DBD" w:rsidRDefault="00496BCD" w:rsidP="00496BCD">
      <w:pPr>
        <w:pStyle w:val="ListParagraph"/>
        <w:keepLines w:val="0"/>
        <w:numPr>
          <w:ilvl w:val="1"/>
          <w:numId w:val="1"/>
        </w:numPr>
        <w:ind w:left="1418" w:hanging="709"/>
        <w:rPr>
          <w:rFonts w:ascii="Calibri" w:hAnsi="Calibri" w:cs="Calibri"/>
        </w:rPr>
      </w:pPr>
      <w:r w:rsidRPr="00050DBD">
        <w:rPr>
          <w:rFonts w:ascii="Calibri" w:hAnsi="Calibri" w:cs="Calibri"/>
        </w:rPr>
        <w:lastRenderedPageBreak/>
        <w:t>any suggestion by the disabled person as to what adjustment(s) ought to be made;</w:t>
      </w:r>
    </w:p>
    <w:p w:rsidR="00496BCD" w:rsidRPr="00050DBD" w:rsidRDefault="00496BCD" w:rsidP="00496BCD">
      <w:pPr>
        <w:pStyle w:val="ListParagraph"/>
        <w:keepLines w:val="0"/>
        <w:numPr>
          <w:ilvl w:val="1"/>
          <w:numId w:val="1"/>
        </w:numPr>
        <w:ind w:left="1418" w:hanging="709"/>
        <w:rPr>
          <w:rFonts w:ascii="Calibri" w:hAnsi="Calibri" w:cs="Calibri"/>
        </w:rPr>
      </w:pPr>
      <w:r w:rsidRPr="00050DBD">
        <w:rPr>
          <w:rFonts w:ascii="Calibri" w:hAnsi="Calibri" w:cs="Calibri"/>
        </w:rPr>
        <w:t xml:space="preserve">any medical information supplied by the disabled person as to his or her disability and its effects. </w:t>
      </w:r>
      <w:r>
        <w:rPr>
          <w:rFonts w:ascii="Calibri" w:hAnsi="Calibri" w:cs="Calibri"/>
        </w:rPr>
        <w:t>TECBAR</w:t>
      </w:r>
      <w:r w:rsidRPr="00050DBD">
        <w:rPr>
          <w:rFonts w:ascii="Calibri" w:hAnsi="Calibri" w:cs="Calibri"/>
        </w:rPr>
        <w:t xml:space="preserve"> strongly encourages the disabled person to supply such information, which will be treated in confidence.</w:t>
      </w:r>
    </w:p>
    <w:p w:rsidR="00496BCD" w:rsidRDefault="00496BCD" w:rsidP="00496BCD">
      <w:pPr>
        <w:pStyle w:val="ListParagraph"/>
        <w:ind w:left="0"/>
        <w:rPr>
          <w:rFonts w:ascii="Calibri" w:hAnsi="Calibri" w:cs="Calibri"/>
          <w:b/>
          <w:szCs w:val="22"/>
        </w:rPr>
      </w:pPr>
    </w:p>
    <w:p w:rsidR="00496BCD" w:rsidRDefault="00496BCD" w:rsidP="00496BCD">
      <w:pPr>
        <w:pStyle w:val="ListParagraph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Requests for </w:t>
      </w:r>
      <w:r w:rsidRPr="00223E6C">
        <w:rPr>
          <w:rFonts w:ascii="Calibri" w:hAnsi="Calibri" w:cs="Calibri"/>
          <w:b/>
          <w:szCs w:val="22"/>
        </w:rPr>
        <w:t>reasonable</w:t>
      </w:r>
      <w:r>
        <w:rPr>
          <w:rFonts w:ascii="Calibri" w:hAnsi="Calibri" w:cs="Calibri"/>
          <w:b/>
        </w:rPr>
        <w:t xml:space="preserve"> adjustments</w:t>
      </w:r>
    </w:p>
    <w:p w:rsidR="00496BCD" w:rsidRPr="00EF3782" w:rsidRDefault="00496BCD" w:rsidP="00496BCD">
      <w:pPr>
        <w:rPr>
          <w:rFonts w:ascii="Calibri" w:hAnsi="Calibri" w:cs="Calibri"/>
          <w:b/>
        </w:rPr>
      </w:pPr>
    </w:p>
    <w:p w:rsidR="00496BCD" w:rsidRPr="00050DBD" w:rsidRDefault="00496BCD" w:rsidP="00496BCD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>Committee Members, members of TECBAR, pupils</w:t>
      </w:r>
      <w:r w:rsidRPr="00050DBD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of TECBAR members, or visitors </w:t>
      </w:r>
      <w:r w:rsidRPr="00050DBD">
        <w:rPr>
          <w:rFonts w:ascii="Calibri" w:hAnsi="Calibri" w:cs="Calibri"/>
          <w:szCs w:val="22"/>
        </w:rPr>
        <w:t xml:space="preserve">with specific requirements should make requests </w:t>
      </w:r>
      <w:r>
        <w:rPr>
          <w:rFonts w:ascii="Calibri" w:hAnsi="Calibri" w:cs="Calibri"/>
          <w:szCs w:val="22"/>
        </w:rPr>
        <w:t xml:space="preserve">addressed </w:t>
      </w:r>
      <w:r w:rsidRPr="00050DBD">
        <w:rPr>
          <w:rFonts w:ascii="Calibri" w:hAnsi="Calibri" w:cs="Calibri"/>
          <w:szCs w:val="22"/>
        </w:rPr>
        <w:t xml:space="preserve">to the </w:t>
      </w:r>
      <w:r>
        <w:rPr>
          <w:rFonts w:ascii="Calibri" w:hAnsi="Calibri" w:cs="Calibri"/>
          <w:szCs w:val="22"/>
        </w:rPr>
        <w:t>TECBAR Committee</w:t>
      </w:r>
      <w:r w:rsidRPr="00050DBD">
        <w:rPr>
          <w:rFonts w:ascii="Calibri" w:hAnsi="Calibri" w:cs="Calibri"/>
          <w:szCs w:val="22"/>
        </w:rPr>
        <w:t xml:space="preserve"> for reasonable adjustment decisions.  All requests for reasonable adjustments will be considered on a case by case basis with the ad</w:t>
      </w:r>
      <w:r>
        <w:rPr>
          <w:rFonts w:ascii="Calibri" w:hAnsi="Calibri" w:cs="Calibri"/>
          <w:szCs w:val="22"/>
        </w:rPr>
        <w:t>vice and assistance of the E&amp;D Officers</w:t>
      </w:r>
      <w:r w:rsidRPr="00050DBD">
        <w:rPr>
          <w:rFonts w:ascii="Calibri" w:hAnsi="Calibri" w:cs="Calibri"/>
          <w:szCs w:val="22"/>
        </w:rPr>
        <w:t xml:space="preserve"> and where it is not possible to make the adjustment requested </w:t>
      </w:r>
      <w:r>
        <w:rPr>
          <w:rFonts w:ascii="Calibri" w:hAnsi="Calibri" w:cs="Calibri"/>
          <w:szCs w:val="22"/>
        </w:rPr>
        <w:t xml:space="preserve">the TECBAR Committee </w:t>
      </w:r>
      <w:r w:rsidRPr="00050DBD">
        <w:rPr>
          <w:rFonts w:ascii="Calibri" w:hAnsi="Calibri" w:cs="Calibri"/>
          <w:szCs w:val="22"/>
        </w:rPr>
        <w:t>will discuss viable alternatives with the applicant.</w:t>
      </w:r>
    </w:p>
    <w:p w:rsidR="00496BCD" w:rsidRPr="00050DBD" w:rsidRDefault="00496BCD" w:rsidP="00496BCD">
      <w:pPr>
        <w:pStyle w:val="ListParagraph"/>
        <w:keepLines w:val="0"/>
        <w:ind w:left="709"/>
        <w:rPr>
          <w:rFonts w:ascii="Calibri" w:hAnsi="Calibri" w:cs="Calibri"/>
        </w:rPr>
      </w:pPr>
    </w:p>
    <w:p w:rsidR="00496BCD" w:rsidRDefault="00496BCD" w:rsidP="00496BCD">
      <w:pPr>
        <w:pStyle w:val="ListParagraph"/>
        <w:ind w:left="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TECBAR events</w:t>
      </w:r>
    </w:p>
    <w:p w:rsidR="00496BCD" w:rsidRPr="00050DBD" w:rsidRDefault="00496BCD" w:rsidP="00496BCD">
      <w:pPr>
        <w:pStyle w:val="ListParagraph"/>
        <w:ind w:left="0"/>
        <w:rPr>
          <w:rFonts w:ascii="Calibri" w:hAnsi="Calibri" w:cs="Calibri"/>
          <w:szCs w:val="22"/>
        </w:rPr>
      </w:pPr>
    </w:p>
    <w:p w:rsidR="00496BCD" w:rsidRPr="00223E6C" w:rsidRDefault="00496BCD" w:rsidP="00496BCD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>The TECBAR Committee is</w:t>
      </w:r>
      <w:r w:rsidRPr="00050DBD">
        <w:rPr>
          <w:rFonts w:ascii="Calibri" w:hAnsi="Calibri" w:cs="Calibri"/>
          <w:szCs w:val="22"/>
        </w:rPr>
        <w:t xml:space="preserve"> responsible for considering reasonabl</w:t>
      </w:r>
      <w:r>
        <w:rPr>
          <w:rFonts w:ascii="Calibri" w:hAnsi="Calibri" w:cs="Calibri"/>
          <w:szCs w:val="22"/>
        </w:rPr>
        <w:t xml:space="preserve">e adjustment requests for members, pupils and </w:t>
      </w:r>
      <w:r w:rsidRPr="00050DBD">
        <w:rPr>
          <w:rFonts w:ascii="Calibri" w:hAnsi="Calibri" w:cs="Calibri"/>
          <w:szCs w:val="22"/>
        </w:rPr>
        <w:t>visitors</w:t>
      </w:r>
      <w:r>
        <w:rPr>
          <w:rFonts w:ascii="Calibri" w:hAnsi="Calibri" w:cs="Calibri"/>
          <w:szCs w:val="22"/>
        </w:rPr>
        <w:t xml:space="preserve"> to TECBAR events.  The TECBAR Committee is</w:t>
      </w:r>
      <w:r w:rsidRPr="00050DBD">
        <w:rPr>
          <w:rFonts w:ascii="Calibri" w:hAnsi="Calibri" w:cs="Calibri"/>
          <w:szCs w:val="22"/>
        </w:rPr>
        <w:t xml:space="preserve"> also responsible for anticipating any likely reasonable adjustments that will need to be made for </w:t>
      </w:r>
      <w:r>
        <w:rPr>
          <w:rFonts w:ascii="Calibri" w:hAnsi="Calibri" w:cs="Calibri"/>
          <w:szCs w:val="22"/>
        </w:rPr>
        <w:t xml:space="preserve">members, pupils and </w:t>
      </w:r>
      <w:r w:rsidRPr="00050DBD">
        <w:rPr>
          <w:rFonts w:ascii="Calibri" w:hAnsi="Calibri" w:cs="Calibri"/>
          <w:szCs w:val="22"/>
        </w:rPr>
        <w:t xml:space="preserve">visitors whom they know to be disabled and likely to require assistance.  </w:t>
      </w:r>
      <w:r>
        <w:rPr>
          <w:rFonts w:ascii="Calibri" w:hAnsi="Calibri" w:cs="Calibri"/>
          <w:szCs w:val="22"/>
        </w:rPr>
        <w:t>R</w:t>
      </w:r>
      <w:r w:rsidRPr="00050DBD">
        <w:rPr>
          <w:rFonts w:ascii="Calibri" w:hAnsi="Calibri" w:cs="Calibri"/>
          <w:szCs w:val="22"/>
        </w:rPr>
        <w:t>equests for specific reasonable adjustm</w:t>
      </w:r>
      <w:r>
        <w:rPr>
          <w:rFonts w:ascii="Calibri" w:hAnsi="Calibri" w:cs="Calibri"/>
          <w:szCs w:val="22"/>
        </w:rPr>
        <w:t>ents may be made by contacting the TECBAR Committee</w:t>
      </w:r>
      <w:r w:rsidRPr="00050DBD">
        <w:rPr>
          <w:rFonts w:ascii="Calibri" w:hAnsi="Calibri" w:cs="Calibri"/>
          <w:szCs w:val="22"/>
        </w:rPr>
        <w:t>.</w:t>
      </w:r>
    </w:p>
    <w:p w:rsidR="00496BCD" w:rsidRPr="00223E6C" w:rsidRDefault="00496BCD" w:rsidP="00496BCD">
      <w:pPr>
        <w:pStyle w:val="ListParagraph"/>
        <w:keepLines w:val="0"/>
        <w:ind w:left="709"/>
        <w:rPr>
          <w:rFonts w:ascii="Calibri" w:hAnsi="Calibri" w:cs="Calibri"/>
        </w:rPr>
      </w:pPr>
    </w:p>
    <w:p w:rsidR="00496BCD" w:rsidRPr="00050DBD" w:rsidRDefault="00496BCD" w:rsidP="00496BCD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</w:rPr>
      </w:pPr>
      <w:r w:rsidRPr="00050DBD">
        <w:rPr>
          <w:rFonts w:ascii="Calibri" w:hAnsi="Calibri" w:cs="Calibri"/>
          <w:szCs w:val="22"/>
        </w:rPr>
        <w:t xml:space="preserve">The </w:t>
      </w:r>
      <w:r>
        <w:rPr>
          <w:rFonts w:ascii="Calibri" w:hAnsi="Calibri" w:cs="Calibri"/>
          <w:szCs w:val="22"/>
        </w:rPr>
        <w:t>TECBAR Committee</w:t>
      </w:r>
      <w:r w:rsidRPr="00050DBD">
        <w:rPr>
          <w:rFonts w:ascii="Calibri" w:hAnsi="Calibri" w:cs="Calibri"/>
          <w:szCs w:val="22"/>
        </w:rPr>
        <w:t xml:space="preserve"> is responsible for consideri</w:t>
      </w:r>
      <w:r>
        <w:rPr>
          <w:rFonts w:ascii="Calibri" w:hAnsi="Calibri" w:cs="Calibri"/>
          <w:szCs w:val="22"/>
        </w:rPr>
        <w:t>ng whether or not disabled</w:t>
      </w:r>
      <w:r w:rsidRPr="00050DBD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members, </w:t>
      </w:r>
      <w:r w:rsidRPr="00050DBD">
        <w:rPr>
          <w:rFonts w:ascii="Calibri" w:hAnsi="Calibri" w:cs="Calibri"/>
          <w:szCs w:val="22"/>
        </w:rPr>
        <w:t xml:space="preserve">pupils </w:t>
      </w:r>
      <w:r>
        <w:rPr>
          <w:rFonts w:ascii="Calibri" w:hAnsi="Calibri" w:cs="Calibri"/>
          <w:szCs w:val="22"/>
        </w:rPr>
        <w:t xml:space="preserve">or visitors </w:t>
      </w:r>
      <w:r w:rsidRPr="00050DBD">
        <w:rPr>
          <w:rFonts w:ascii="Calibri" w:hAnsi="Calibri" w:cs="Calibri"/>
          <w:szCs w:val="22"/>
        </w:rPr>
        <w:t>require assistance during an emergency evacuation and if so whether or not a personal emergency evacuation plan</w:t>
      </w:r>
      <w:r>
        <w:rPr>
          <w:rFonts w:ascii="Calibri" w:hAnsi="Calibri" w:cs="Calibri"/>
          <w:szCs w:val="22"/>
        </w:rPr>
        <w:t xml:space="preserve"> is required for the individual(</w:t>
      </w:r>
      <w:r w:rsidRPr="00050DBD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>)</w:t>
      </w:r>
      <w:r w:rsidRPr="00050DBD">
        <w:rPr>
          <w:rFonts w:ascii="Calibri" w:hAnsi="Calibri" w:cs="Calibri"/>
          <w:szCs w:val="22"/>
        </w:rPr>
        <w:t xml:space="preserve"> concerned.  If so, the plan will be developed in partnership with the individual concerned in order to ensure that adjustments to the emergency evacuation procedure may be made.</w:t>
      </w:r>
    </w:p>
    <w:p w:rsidR="00496BCD" w:rsidRPr="00050DBD" w:rsidRDefault="00496BCD" w:rsidP="00496BCD">
      <w:pPr>
        <w:pStyle w:val="ListParagraph"/>
        <w:keepLines w:val="0"/>
        <w:ind w:left="709"/>
        <w:rPr>
          <w:rFonts w:ascii="Calibri" w:hAnsi="Calibri" w:cs="Calibri"/>
        </w:rPr>
      </w:pPr>
    </w:p>
    <w:p w:rsidR="00496BCD" w:rsidRPr="00050DBD" w:rsidRDefault="00496BCD" w:rsidP="00496BCD">
      <w:pPr>
        <w:pStyle w:val="ListParagraph"/>
        <w:keepLines w:val="0"/>
        <w:ind w:left="0"/>
        <w:rPr>
          <w:rFonts w:ascii="Calibri" w:hAnsi="Calibri" w:cs="Calibri"/>
        </w:rPr>
      </w:pPr>
    </w:p>
    <w:p w:rsidR="00496BCD" w:rsidRPr="00163069" w:rsidRDefault="00496BCD" w:rsidP="00496BCD">
      <w:pPr>
        <w:pStyle w:val="ListParagraph"/>
        <w:ind w:left="426" w:hanging="426"/>
        <w:rPr>
          <w:rFonts w:ascii="Calibri" w:hAnsi="Calibri" w:cs="Calibri"/>
          <w:b/>
          <w:szCs w:val="22"/>
        </w:rPr>
      </w:pPr>
      <w:r w:rsidRPr="00163069">
        <w:rPr>
          <w:rFonts w:ascii="Calibri" w:hAnsi="Calibri" w:cs="Calibri"/>
          <w:b/>
          <w:szCs w:val="22"/>
        </w:rPr>
        <w:t>Cost of making reasonable adjustments</w:t>
      </w:r>
    </w:p>
    <w:p w:rsidR="00496BCD" w:rsidRPr="00050DBD" w:rsidRDefault="00496BCD" w:rsidP="00496BCD">
      <w:pPr>
        <w:pStyle w:val="ListParagraph"/>
        <w:keepLines w:val="0"/>
        <w:ind w:left="0"/>
        <w:rPr>
          <w:rFonts w:ascii="Calibri" w:hAnsi="Calibri" w:cs="Calibri"/>
        </w:rPr>
      </w:pPr>
    </w:p>
    <w:p w:rsidR="00496BCD" w:rsidRPr="00050DBD" w:rsidRDefault="00496BCD" w:rsidP="00496BCD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</w:rPr>
      </w:pPr>
      <w:r w:rsidRPr="00050DBD">
        <w:rPr>
          <w:rFonts w:ascii="Calibri" w:hAnsi="Calibri" w:cs="Calibri"/>
          <w:szCs w:val="22"/>
        </w:rPr>
        <w:t>In no circum</w:t>
      </w:r>
      <w:r>
        <w:rPr>
          <w:rFonts w:ascii="Calibri" w:hAnsi="Calibri" w:cs="Calibri"/>
          <w:szCs w:val="22"/>
        </w:rPr>
        <w:t xml:space="preserve">stances will TECBAR or the TECBAR Committee </w:t>
      </w:r>
      <w:r w:rsidRPr="00050DBD">
        <w:rPr>
          <w:rFonts w:ascii="Calibri" w:hAnsi="Calibri" w:cs="Calibri"/>
          <w:szCs w:val="22"/>
        </w:rPr>
        <w:t>pass on the cost of a reasonable adjustment to a disabled person.</w:t>
      </w:r>
    </w:p>
    <w:p w:rsidR="00496BCD" w:rsidRPr="00050DBD" w:rsidRDefault="00496BCD" w:rsidP="00496BCD">
      <w:pPr>
        <w:pStyle w:val="ListParagraph"/>
        <w:keepLines w:val="0"/>
        <w:ind w:left="0"/>
        <w:rPr>
          <w:rFonts w:ascii="Calibri" w:hAnsi="Calibri" w:cs="Calibri"/>
        </w:rPr>
      </w:pPr>
    </w:p>
    <w:p w:rsidR="00496BCD" w:rsidRPr="00163069" w:rsidRDefault="00496BCD" w:rsidP="00496BCD">
      <w:pPr>
        <w:pStyle w:val="ListParagraph"/>
        <w:ind w:left="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M</w:t>
      </w:r>
      <w:r w:rsidRPr="00163069">
        <w:rPr>
          <w:rFonts w:ascii="Calibri" w:hAnsi="Calibri" w:cs="Calibri"/>
          <w:b/>
          <w:szCs w:val="22"/>
        </w:rPr>
        <w:t>onitoring and review</w:t>
      </w:r>
    </w:p>
    <w:p w:rsidR="00496BCD" w:rsidRPr="00050DBD" w:rsidRDefault="00496BCD" w:rsidP="00496BCD">
      <w:pPr>
        <w:pStyle w:val="ListParagraph"/>
        <w:keepLines w:val="0"/>
        <w:ind w:left="0"/>
        <w:rPr>
          <w:rFonts w:ascii="Calibri" w:hAnsi="Calibri" w:cs="Calibri"/>
        </w:rPr>
      </w:pPr>
    </w:p>
    <w:p w:rsidR="00496BCD" w:rsidRPr="00050DBD" w:rsidRDefault="00496BCD" w:rsidP="00496BCD">
      <w:pPr>
        <w:pStyle w:val="ListParagraph"/>
        <w:keepLines w:val="0"/>
        <w:numPr>
          <w:ilvl w:val="0"/>
          <w:numId w:val="1"/>
        </w:numPr>
        <w:ind w:left="709" w:hanging="709"/>
        <w:rPr>
          <w:rFonts w:ascii="Calibri" w:hAnsi="Calibri" w:cs="Calibri"/>
        </w:rPr>
      </w:pPr>
      <w:r w:rsidRPr="00050DBD">
        <w:rPr>
          <w:rFonts w:ascii="Calibri" w:hAnsi="Calibri" w:cs="Calibri"/>
          <w:szCs w:val="22"/>
        </w:rPr>
        <w:t xml:space="preserve">This policy is reviewed by </w:t>
      </w:r>
      <w:r>
        <w:rPr>
          <w:rFonts w:ascii="Calibri" w:hAnsi="Calibri" w:cs="Calibri"/>
          <w:szCs w:val="22"/>
        </w:rPr>
        <w:t xml:space="preserve">TECBAR’s E&amp;D officers </w:t>
      </w:r>
      <w:r w:rsidRPr="00050DBD">
        <w:rPr>
          <w:rFonts w:ascii="Calibri" w:hAnsi="Calibri" w:cs="Calibri"/>
          <w:szCs w:val="22"/>
        </w:rPr>
        <w:t xml:space="preserve">every two years.  The </w:t>
      </w:r>
      <w:r>
        <w:rPr>
          <w:rFonts w:ascii="Calibri" w:hAnsi="Calibri" w:cs="Calibri"/>
          <w:szCs w:val="22"/>
        </w:rPr>
        <w:t>policy was prepared in January 2015, and will be due for review in January 2017</w:t>
      </w:r>
      <w:r w:rsidRPr="00050DBD">
        <w:rPr>
          <w:rFonts w:ascii="Calibri" w:hAnsi="Calibri" w:cs="Calibri"/>
          <w:szCs w:val="22"/>
        </w:rPr>
        <w:t>.</w:t>
      </w:r>
    </w:p>
    <w:p w:rsidR="00496BCD" w:rsidRPr="00050DBD" w:rsidRDefault="00496BCD" w:rsidP="00496BCD">
      <w:pPr>
        <w:rPr>
          <w:rFonts w:ascii="Calibri" w:hAnsi="Calibri" w:cs="Calibri"/>
          <w:sz w:val="22"/>
          <w:szCs w:val="22"/>
        </w:rPr>
      </w:pPr>
    </w:p>
    <w:p w:rsidR="00496BCD" w:rsidRDefault="00496BCD" w:rsidP="00496BCD"/>
    <w:p w:rsidR="007055D3" w:rsidRDefault="007055D3"/>
    <w:sectPr w:rsidR="007055D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FA" w:rsidRDefault="008A6A05">
      <w:r>
        <w:separator/>
      </w:r>
    </w:p>
  </w:endnote>
  <w:endnote w:type="continuationSeparator" w:id="0">
    <w:p w:rsidR="00AC79FA" w:rsidRDefault="008A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D0" w:rsidRDefault="00496BCD">
    <w:pPr>
      <w:pStyle w:val="Footer"/>
    </w:pPr>
    <w:r>
      <w:t>January 2015</w:t>
    </w:r>
  </w:p>
  <w:p w:rsidR="00CA0655" w:rsidRDefault="00311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FA" w:rsidRDefault="008A6A05">
      <w:r>
        <w:separator/>
      </w:r>
    </w:p>
  </w:footnote>
  <w:footnote w:type="continuationSeparator" w:id="0">
    <w:p w:rsidR="00AC79FA" w:rsidRDefault="008A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161DF"/>
    <w:multiLevelType w:val="hybridMultilevel"/>
    <w:tmpl w:val="C18CA2F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BCD"/>
    <w:rsid w:val="00007DD8"/>
    <w:rsid w:val="00012080"/>
    <w:rsid w:val="000174CB"/>
    <w:rsid w:val="00023E19"/>
    <w:rsid w:val="00024ABC"/>
    <w:rsid w:val="000251E3"/>
    <w:rsid w:val="0002735E"/>
    <w:rsid w:val="00027A66"/>
    <w:rsid w:val="000300C7"/>
    <w:rsid w:val="000318EF"/>
    <w:rsid w:val="00037689"/>
    <w:rsid w:val="00050D0B"/>
    <w:rsid w:val="0005523B"/>
    <w:rsid w:val="00064C3F"/>
    <w:rsid w:val="00090CB8"/>
    <w:rsid w:val="00092CF4"/>
    <w:rsid w:val="000A0AE2"/>
    <w:rsid w:val="000A1421"/>
    <w:rsid w:val="000A7F53"/>
    <w:rsid w:val="000C7A30"/>
    <w:rsid w:val="000E4569"/>
    <w:rsid w:val="000F5E20"/>
    <w:rsid w:val="00100972"/>
    <w:rsid w:val="001011FD"/>
    <w:rsid w:val="00110B85"/>
    <w:rsid w:val="001127DC"/>
    <w:rsid w:val="00116FA1"/>
    <w:rsid w:val="00120311"/>
    <w:rsid w:val="00127F9B"/>
    <w:rsid w:val="00131FE1"/>
    <w:rsid w:val="00134326"/>
    <w:rsid w:val="001353F1"/>
    <w:rsid w:val="001368EE"/>
    <w:rsid w:val="00154A2B"/>
    <w:rsid w:val="00163E92"/>
    <w:rsid w:val="00166BEA"/>
    <w:rsid w:val="00171E0A"/>
    <w:rsid w:val="00181720"/>
    <w:rsid w:val="00185897"/>
    <w:rsid w:val="00191F33"/>
    <w:rsid w:val="0019567F"/>
    <w:rsid w:val="001A4E2E"/>
    <w:rsid w:val="001A52B2"/>
    <w:rsid w:val="001A5D78"/>
    <w:rsid w:val="001C6E20"/>
    <w:rsid w:val="001D6E92"/>
    <w:rsid w:val="001D7ABE"/>
    <w:rsid w:val="001E08D9"/>
    <w:rsid w:val="001E24D2"/>
    <w:rsid w:val="001E3DF9"/>
    <w:rsid w:val="001E6916"/>
    <w:rsid w:val="001F4048"/>
    <w:rsid w:val="001F40C5"/>
    <w:rsid w:val="00207B64"/>
    <w:rsid w:val="00214306"/>
    <w:rsid w:val="00215E2F"/>
    <w:rsid w:val="002221AF"/>
    <w:rsid w:val="00222861"/>
    <w:rsid w:val="0022382D"/>
    <w:rsid w:val="002254AB"/>
    <w:rsid w:val="00226836"/>
    <w:rsid w:val="00227187"/>
    <w:rsid w:val="00237F33"/>
    <w:rsid w:val="00244D68"/>
    <w:rsid w:val="00263C15"/>
    <w:rsid w:val="0026686C"/>
    <w:rsid w:val="002734FE"/>
    <w:rsid w:val="0027484F"/>
    <w:rsid w:val="002763F8"/>
    <w:rsid w:val="00284AF7"/>
    <w:rsid w:val="002A1DF0"/>
    <w:rsid w:val="002A53C4"/>
    <w:rsid w:val="002A5588"/>
    <w:rsid w:val="002B033F"/>
    <w:rsid w:val="002B0A5E"/>
    <w:rsid w:val="002C268B"/>
    <w:rsid w:val="002C27BB"/>
    <w:rsid w:val="002C5EF9"/>
    <w:rsid w:val="002D28EC"/>
    <w:rsid w:val="002D68B6"/>
    <w:rsid w:val="002E05C2"/>
    <w:rsid w:val="002E2E95"/>
    <w:rsid w:val="002E5308"/>
    <w:rsid w:val="002E7A1F"/>
    <w:rsid w:val="0030429A"/>
    <w:rsid w:val="00304D13"/>
    <w:rsid w:val="00311F4A"/>
    <w:rsid w:val="003206B4"/>
    <w:rsid w:val="0033569B"/>
    <w:rsid w:val="00337DDE"/>
    <w:rsid w:val="00341992"/>
    <w:rsid w:val="00346CF9"/>
    <w:rsid w:val="00354C24"/>
    <w:rsid w:val="00356AEC"/>
    <w:rsid w:val="003628D9"/>
    <w:rsid w:val="00362A69"/>
    <w:rsid w:val="00364219"/>
    <w:rsid w:val="00364C8A"/>
    <w:rsid w:val="003652D3"/>
    <w:rsid w:val="003702C2"/>
    <w:rsid w:val="00372312"/>
    <w:rsid w:val="003743BF"/>
    <w:rsid w:val="0037604E"/>
    <w:rsid w:val="00380B7C"/>
    <w:rsid w:val="0038198F"/>
    <w:rsid w:val="00391F8B"/>
    <w:rsid w:val="003A42A1"/>
    <w:rsid w:val="003A6B44"/>
    <w:rsid w:val="003A75BD"/>
    <w:rsid w:val="003B0CFA"/>
    <w:rsid w:val="003B5615"/>
    <w:rsid w:val="003B6DF7"/>
    <w:rsid w:val="003C3C45"/>
    <w:rsid w:val="003D1773"/>
    <w:rsid w:val="003D26A7"/>
    <w:rsid w:val="003D4E07"/>
    <w:rsid w:val="003E3F8A"/>
    <w:rsid w:val="003F31D3"/>
    <w:rsid w:val="003F53FC"/>
    <w:rsid w:val="00400261"/>
    <w:rsid w:val="00404D40"/>
    <w:rsid w:val="00422068"/>
    <w:rsid w:val="00426360"/>
    <w:rsid w:val="00433056"/>
    <w:rsid w:val="0043332F"/>
    <w:rsid w:val="00442CDC"/>
    <w:rsid w:val="00446080"/>
    <w:rsid w:val="00452201"/>
    <w:rsid w:val="00456027"/>
    <w:rsid w:val="0045779E"/>
    <w:rsid w:val="00462BF7"/>
    <w:rsid w:val="00464003"/>
    <w:rsid w:val="004670BF"/>
    <w:rsid w:val="004734BA"/>
    <w:rsid w:val="004815E0"/>
    <w:rsid w:val="00481C0B"/>
    <w:rsid w:val="00482846"/>
    <w:rsid w:val="00484866"/>
    <w:rsid w:val="00490632"/>
    <w:rsid w:val="00492FF8"/>
    <w:rsid w:val="004932D0"/>
    <w:rsid w:val="00496BCD"/>
    <w:rsid w:val="004A5E7E"/>
    <w:rsid w:val="004B1CF8"/>
    <w:rsid w:val="004C68D2"/>
    <w:rsid w:val="004C7547"/>
    <w:rsid w:val="004C7B47"/>
    <w:rsid w:val="004D0898"/>
    <w:rsid w:val="004D0B01"/>
    <w:rsid w:val="004D3B85"/>
    <w:rsid w:val="004E1B00"/>
    <w:rsid w:val="004E3EA0"/>
    <w:rsid w:val="004E509E"/>
    <w:rsid w:val="004E5752"/>
    <w:rsid w:val="004E5F1D"/>
    <w:rsid w:val="004F5F37"/>
    <w:rsid w:val="004F6CD5"/>
    <w:rsid w:val="00507901"/>
    <w:rsid w:val="00525A21"/>
    <w:rsid w:val="00525C8D"/>
    <w:rsid w:val="00527BD9"/>
    <w:rsid w:val="0054304E"/>
    <w:rsid w:val="0054388C"/>
    <w:rsid w:val="00557226"/>
    <w:rsid w:val="0056398B"/>
    <w:rsid w:val="00572199"/>
    <w:rsid w:val="00575B95"/>
    <w:rsid w:val="005760D9"/>
    <w:rsid w:val="00580EB4"/>
    <w:rsid w:val="00582668"/>
    <w:rsid w:val="00585255"/>
    <w:rsid w:val="00586782"/>
    <w:rsid w:val="005872FF"/>
    <w:rsid w:val="00596739"/>
    <w:rsid w:val="00597596"/>
    <w:rsid w:val="005A0CEA"/>
    <w:rsid w:val="005A2D96"/>
    <w:rsid w:val="005A732F"/>
    <w:rsid w:val="005B041C"/>
    <w:rsid w:val="005B3FAE"/>
    <w:rsid w:val="005B492B"/>
    <w:rsid w:val="005C78F7"/>
    <w:rsid w:val="005D702F"/>
    <w:rsid w:val="005E035E"/>
    <w:rsid w:val="005F156E"/>
    <w:rsid w:val="005F1CE2"/>
    <w:rsid w:val="005F685F"/>
    <w:rsid w:val="00600433"/>
    <w:rsid w:val="00602853"/>
    <w:rsid w:val="00604197"/>
    <w:rsid w:val="00605248"/>
    <w:rsid w:val="0061455F"/>
    <w:rsid w:val="0061617D"/>
    <w:rsid w:val="0062415E"/>
    <w:rsid w:val="00635E6C"/>
    <w:rsid w:val="00646B4F"/>
    <w:rsid w:val="00651795"/>
    <w:rsid w:val="00651FC6"/>
    <w:rsid w:val="00660080"/>
    <w:rsid w:val="00662676"/>
    <w:rsid w:val="0067037F"/>
    <w:rsid w:val="00671066"/>
    <w:rsid w:val="00671192"/>
    <w:rsid w:val="006725F1"/>
    <w:rsid w:val="00677920"/>
    <w:rsid w:val="0068188E"/>
    <w:rsid w:val="006919DC"/>
    <w:rsid w:val="006935BE"/>
    <w:rsid w:val="006942A1"/>
    <w:rsid w:val="0069540E"/>
    <w:rsid w:val="006A07DD"/>
    <w:rsid w:val="006A441A"/>
    <w:rsid w:val="006B2026"/>
    <w:rsid w:val="006C2EE4"/>
    <w:rsid w:val="006C30F1"/>
    <w:rsid w:val="006D0A5D"/>
    <w:rsid w:val="006D7578"/>
    <w:rsid w:val="006E1145"/>
    <w:rsid w:val="006E3A68"/>
    <w:rsid w:val="006E5133"/>
    <w:rsid w:val="006E7833"/>
    <w:rsid w:val="006F244A"/>
    <w:rsid w:val="006F3093"/>
    <w:rsid w:val="006F4FF3"/>
    <w:rsid w:val="007032D6"/>
    <w:rsid w:val="00704A8E"/>
    <w:rsid w:val="007055D3"/>
    <w:rsid w:val="00707EE5"/>
    <w:rsid w:val="0071679B"/>
    <w:rsid w:val="00721079"/>
    <w:rsid w:val="00727682"/>
    <w:rsid w:val="00734437"/>
    <w:rsid w:val="007418E6"/>
    <w:rsid w:val="00743F34"/>
    <w:rsid w:val="00744146"/>
    <w:rsid w:val="00745A9A"/>
    <w:rsid w:val="00763350"/>
    <w:rsid w:val="00765CF2"/>
    <w:rsid w:val="00765D30"/>
    <w:rsid w:val="00781389"/>
    <w:rsid w:val="0079603C"/>
    <w:rsid w:val="007971C1"/>
    <w:rsid w:val="007A1209"/>
    <w:rsid w:val="007A40F0"/>
    <w:rsid w:val="007C2556"/>
    <w:rsid w:val="007C55EF"/>
    <w:rsid w:val="007D3F1F"/>
    <w:rsid w:val="007D59DD"/>
    <w:rsid w:val="007D627C"/>
    <w:rsid w:val="007D69D9"/>
    <w:rsid w:val="007F619E"/>
    <w:rsid w:val="007F756C"/>
    <w:rsid w:val="0080169C"/>
    <w:rsid w:val="00806AF3"/>
    <w:rsid w:val="0081107A"/>
    <w:rsid w:val="00812203"/>
    <w:rsid w:val="0081616D"/>
    <w:rsid w:val="00820025"/>
    <w:rsid w:val="00825156"/>
    <w:rsid w:val="008253F6"/>
    <w:rsid w:val="0082611A"/>
    <w:rsid w:val="00831DE0"/>
    <w:rsid w:val="00834353"/>
    <w:rsid w:val="0083518B"/>
    <w:rsid w:val="00835EB3"/>
    <w:rsid w:val="00835FF1"/>
    <w:rsid w:val="00836191"/>
    <w:rsid w:val="00840E7C"/>
    <w:rsid w:val="008428B0"/>
    <w:rsid w:val="00844968"/>
    <w:rsid w:val="0085264C"/>
    <w:rsid w:val="008577BF"/>
    <w:rsid w:val="00871866"/>
    <w:rsid w:val="0087413C"/>
    <w:rsid w:val="00874ACE"/>
    <w:rsid w:val="00874BE4"/>
    <w:rsid w:val="00875778"/>
    <w:rsid w:val="00891748"/>
    <w:rsid w:val="008936B7"/>
    <w:rsid w:val="008A6A05"/>
    <w:rsid w:val="008C20CA"/>
    <w:rsid w:val="008C567A"/>
    <w:rsid w:val="008E2C7F"/>
    <w:rsid w:val="008F4589"/>
    <w:rsid w:val="00905730"/>
    <w:rsid w:val="00907346"/>
    <w:rsid w:val="00930C51"/>
    <w:rsid w:val="00945B02"/>
    <w:rsid w:val="00952AE9"/>
    <w:rsid w:val="009532E0"/>
    <w:rsid w:val="00957793"/>
    <w:rsid w:val="00964B66"/>
    <w:rsid w:val="00966076"/>
    <w:rsid w:val="00971C79"/>
    <w:rsid w:val="0097630F"/>
    <w:rsid w:val="00976B53"/>
    <w:rsid w:val="00982EA8"/>
    <w:rsid w:val="0098327A"/>
    <w:rsid w:val="009835FC"/>
    <w:rsid w:val="00997C89"/>
    <w:rsid w:val="009A45F2"/>
    <w:rsid w:val="009A47CB"/>
    <w:rsid w:val="009A6DDA"/>
    <w:rsid w:val="009D719B"/>
    <w:rsid w:val="009E5E40"/>
    <w:rsid w:val="009F185C"/>
    <w:rsid w:val="00A03BCC"/>
    <w:rsid w:val="00A230AB"/>
    <w:rsid w:val="00A238BE"/>
    <w:rsid w:val="00A24B64"/>
    <w:rsid w:val="00A4120F"/>
    <w:rsid w:val="00A4668D"/>
    <w:rsid w:val="00A51862"/>
    <w:rsid w:val="00A52900"/>
    <w:rsid w:val="00A5340C"/>
    <w:rsid w:val="00A57E13"/>
    <w:rsid w:val="00A630D2"/>
    <w:rsid w:val="00A656A7"/>
    <w:rsid w:val="00A65815"/>
    <w:rsid w:val="00A7115E"/>
    <w:rsid w:val="00A74227"/>
    <w:rsid w:val="00A802DC"/>
    <w:rsid w:val="00A83B4A"/>
    <w:rsid w:val="00A84572"/>
    <w:rsid w:val="00A90A20"/>
    <w:rsid w:val="00A95332"/>
    <w:rsid w:val="00AA01F6"/>
    <w:rsid w:val="00AA7D7E"/>
    <w:rsid w:val="00AC01B8"/>
    <w:rsid w:val="00AC1FA5"/>
    <w:rsid w:val="00AC4168"/>
    <w:rsid w:val="00AC4289"/>
    <w:rsid w:val="00AC6BFE"/>
    <w:rsid w:val="00AC79FA"/>
    <w:rsid w:val="00AD06A0"/>
    <w:rsid w:val="00AD4A18"/>
    <w:rsid w:val="00AE0357"/>
    <w:rsid w:val="00AE038E"/>
    <w:rsid w:val="00AF0043"/>
    <w:rsid w:val="00AF142C"/>
    <w:rsid w:val="00AF60B5"/>
    <w:rsid w:val="00AF697C"/>
    <w:rsid w:val="00B0038B"/>
    <w:rsid w:val="00B05014"/>
    <w:rsid w:val="00B07EDE"/>
    <w:rsid w:val="00B11E9A"/>
    <w:rsid w:val="00B124C2"/>
    <w:rsid w:val="00B165D9"/>
    <w:rsid w:val="00B25E6D"/>
    <w:rsid w:val="00B27076"/>
    <w:rsid w:val="00B36222"/>
    <w:rsid w:val="00B371E4"/>
    <w:rsid w:val="00B401E4"/>
    <w:rsid w:val="00B418AA"/>
    <w:rsid w:val="00B42FED"/>
    <w:rsid w:val="00B5187C"/>
    <w:rsid w:val="00B5711E"/>
    <w:rsid w:val="00B60738"/>
    <w:rsid w:val="00B60977"/>
    <w:rsid w:val="00B71242"/>
    <w:rsid w:val="00B72FDF"/>
    <w:rsid w:val="00B73372"/>
    <w:rsid w:val="00B74C2E"/>
    <w:rsid w:val="00B75001"/>
    <w:rsid w:val="00B7760F"/>
    <w:rsid w:val="00B803BB"/>
    <w:rsid w:val="00B807D6"/>
    <w:rsid w:val="00B902D6"/>
    <w:rsid w:val="00B9225A"/>
    <w:rsid w:val="00B92AA9"/>
    <w:rsid w:val="00BA3F56"/>
    <w:rsid w:val="00BB1697"/>
    <w:rsid w:val="00BB7125"/>
    <w:rsid w:val="00BB7F3C"/>
    <w:rsid w:val="00BC111A"/>
    <w:rsid w:val="00BC1928"/>
    <w:rsid w:val="00BC3241"/>
    <w:rsid w:val="00BC61B6"/>
    <w:rsid w:val="00BC70C9"/>
    <w:rsid w:val="00BD337C"/>
    <w:rsid w:val="00BD5622"/>
    <w:rsid w:val="00BF022B"/>
    <w:rsid w:val="00C024A0"/>
    <w:rsid w:val="00C03302"/>
    <w:rsid w:val="00C060ED"/>
    <w:rsid w:val="00C109EE"/>
    <w:rsid w:val="00C10F74"/>
    <w:rsid w:val="00C13E2D"/>
    <w:rsid w:val="00C157EC"/>
    <w:rsid w:val="00C159BF"/>
    <w:rsid w:val="00C25031"/>
    <w:rsid w:val="00C26FD0"/>
    <w:rsid w:val="00C31D44"/>
    <w:rsid w:val="00C40A52"/>
    <w:rsid w:val="00C41B0D"/>
    <w:rsid w:val="00C43D7F"/>
    <w:rsid w:val="00C44E0F"/>
    <w:rsid w:val="00C52DBA"/>
    <w:rsid w:val="00C577AB"/>
    <w:rsid w:val="00C82D41"/>
    <w:rsid w:val="00CA6807"/>
    <w:rsid w:val="00CC32AD"/>
    <w:rsid w:val="00CC4852"/>
    <w:rsid w:val="00CC4B17"/>
    <w:rsid w:val="00CD586E"/>
    <w:rsid w:val="00CE5952"/>
    <w:rsid w:val="00CE714F"/>
    <w:rsid w:val="00CF275A"/>
    <w:rsid w:val="00CF74E8"/>
    <w:rsid w:val="00D10714"/>
    <w:rsid w:val="00D117BC"/>
    <w:rsid w:val="00D119E3"/>
    <w:rsid w:val="00D178B4"/>
    <w:rsid w:val="00D30034"/>
    <w:rsid w:val="00D40176"/>
    <w:rsid w:val="00D46A34"/>
    <w:rsid w:val="00D57842"/>
    <w:rsid w:val="00D57FA2"/>
    <w:rsid w:val="00D60D5A"/>
    <w:rsid w:val="00D67615"/>
    <w:rsid w:val="00D75C4F"/>
    <w:rsid w:val="00D7689F"/>
    <w:rsid w:val="00D77CFE"/>
    <w:rsid w:val="00D84FD6"/>
    <w:rsid w:val="00D90A0E"/>
    <w:rsid w:val="00D92479"/>
    <w:rsid w:val="00D9294F"/>
    <w:rsid w:val="00D97313"/>
    <w:rsid w:val="00D97B57"/>
    <w:rsid w:val="00DA0A72"/>
    <w:rsid w:val="00DA2D93"/>
    <w:rsid w:val="00DA4CE7"/>
    <w:rsid w:val="00DC2E0F"/>
    <w:rsid w:val="00DC71C1"/>
    <w:rsid w:val="00DD1B2F"/>
    <w:rsid w:val="00DD2F3E"/>
    <w:rsid w:val="00DD73A4"/>
    <w:rsid w:val="00DE2A8E"/>
    <w:rsid w:val="00DE3C88"/>
    <w:rsid w:val="00DE6D97"/>
    <w:rsid w:val="00DF3843"/>
    <w:rsid w:val="00DF5E40"/>
    <w:rsid w:val="00E01259"/>
    <w:rsid w:val="00E01C78"/>
    <w:rsid w:val="00E21651"/>
    <w:rsid w:val="00E22799"/>
    <w:rsid w:val="00E26DE0"/>
    <w:rsid w:val="00E426C9"/>
    <w:rsid w:val="00E519A4"/>
    <w:rsid w:val="00E55918"/>
    <w:rsid w:val="00E60D02"/>
    <w:rsid w:val="00E61893"/>
    <w:rsid w:val="00E64353"/>
    <w:rsid w:val="00E733AE"/>
    <w:rsid w:val="00E74331"/>
    <w:rsid w:val="00E84072"/>
    <w:rsid w:val="00E84BED"/>
    <w:rsid w:val="00E878B8"/>
    <w:rsid w:val="00E90BA5"/>
    <w:rsid w:val="00E94238"/>
    <w:rsid w:val="00EA7EC9"/>
    <w:rsid w:val="00EC4075"/>
    <w:rsid w:val="00EC6D71"/>
    <w:rsid w:val="00EC74A6"/>
    <w:rsid w:val="00ED5EBB"/>
    <w:rsid w:val="00ED6B56"/>
    <w:rsid w:val="00EE15C7"/>
    <w:rsid w:val="00EE3E9F"/>
    <w:rsid w:val="00EF0487"/>
    <w:rsid w:val="00EF0596"/>
    <w:rsid w:val="00EF0AA3"/>
    <w:rsid w:val="00EF2E98"/>
    <w:rsid w:val="00EF4452"/>
    <w:rsid w:val="00EF5588"/>
    <w:rsid w:val="00F0005A"/>
    <w:rsid w:val="00F0514B"/>
    <w:rsid w:val="00F10127"/>
    <w:rsid w:val="00F1432D"/>
    <w:rsid w:val="00F161D7"/>
    <w:rsid w:val="00F17712"/>
    <w:rsid w:val="00F2491B"/>
    <w:rsid w:val="00F27458"/>
    <w:rsid w:val="00F30749"/>
    <w:rsid w:val="00F326FF"/>
    <w:rsid w:val="00F3678D"/>
    <w:rsid w:val="00F43E05"/>
    <w:rsid w:val="00F473BD"/>
    <w:rsid w:val="00F57E20"/>
    <w:rsid w:val="00F60D87"/>
    <w:rsid w:val="00F63625"/>
    <w:rsid w:val="00F72158"/>
    <w:rsid w:val="00F72BC3"/>
    <w:rsid w:val="00F80056"/>
    <w:rsid w:val="00F8065E"/>
    <w:rsid w:val="00F8481E"/>
    <w:rsid w:val="00F862B7"/>
    <w:rsid w:val="00F87552"/>
    <w:rsid w:val="00F87930"/>
    <w:rsid w:val="00F96533"/>
    <w:rsid w:val="00FA18F3"/>
    <w:rsid w:val="00FA1F56"/>
    <w:rsid w:val="00FA6454"/>
    <w:rsid w:val="00FB1872"/>
    <w:rsid w:val="00FB1A44"/>
    <w:rsid w:val="00FB1D13"/>
    <w:rsid w:val="00FB1DAF"/>
    <w:rsid w:val="00FB4C9E"/>
    <w:rsid w:val="00FB514D"/>
    <w:rsid w:val="00FB58FB"/>
    <w:rsid w:val="00FC0F7E"/>
    <w:rsid w:val="00FD0415"/>
    <w:rsid w:val="00FD2BCA"/>
    <w:rsid w:val="00FD63FA"/>
    <w:rsid w:val="00FE056D"/>
    <w:rsid w:val="00FE304F"/>
    <w:rsid w:val="00FE43D3"/>
    <w:rsid w:val="00F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BCD"/>
    <w:pPr>
      <w:keepLines/>
      <w:ind w:left="720"/>
      <w:contextualSpacing/>
    </w:pPr>
    <w:rPr>
      <w:rFonts w:ascii="Arial" w:hAnsi="Arial"/>
      <w:sz w:val="22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496BCD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6BCD"/>
    <w:rPr>
      <w:rFonts w:ascii="Consolas" w:eastAsia="Calibri" w:hAnsi="Consolas" w:cs="Consolas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96B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BCD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6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BC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BC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BC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BCD"/>
    <w:pPr>
      <w:keepLines/>
      <w:ind w:left="720"/>
      <w:contextualSpacing/>
    </w:pPr>
    <w:rPr>
      <w:rFonts w:ascii="Arial" w:hAnsi="Arial"/>
      <w:sz w:val="22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496BCD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6BCD"/>
    <w:rPr>
      <w:rFonts w:ascii="Consolas" w:eastAsia="Calibri" w:hAnsi="Consolas" w:cs="Consolas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96B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BCD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6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BC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BC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B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SXMW7HPC</dc:creator>
  <cp:lastModifiedBy>pati-svc</cp:lastModifiedBy>
  <cp:revision>2</cp:revision>
  <dcterms:created xsi:type="dcterms:W3CDTF">2015-06-15T14:00:00Z</dcterms:created>
  <dcterms:modified xsi:type="dcterms:W3CDTF">2015-06-15T14:00:00Z</dcterms:modified>
</cp:coreProperties>
</file>