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6DAE" w14:textId="274DDC9D" w:rsidR="000466B4" w:rsidRPr="000466B4" w:rsidRDefault="000466B4" w:rsidP="000466B4">
      <w:pPr>
        <w:spacing w:line="276" w:lineRule="auto"/>
        <w:jc w:val="center"/>
        <w:rPr>
          <w:rFonts w:ascii="Montserrat" w:hAnsi="Montserrat"/>
          <w:b/>
          <w:bCs/>
          <w:sz w:val="22"/>
          <w:szCs w:val="22"/>
        </w:rPr>
      </w:pPr>
      <w:r w:rsidRPr="000466B4">
        <w:rPr>
          <w:rFonts w:ascii="Montserrat" w:hAnsi="Montserrat"/>
          <w:b/>
          <w:bCs/>
          <w:sz w:val="22"/>
          <w:szCs w:val="22"/>
        </w:rPr>
        <w:t>The 2022 TCC Guide – Key Changes</w:t>
      </w:r>
    </w:p>
    <w:p w14:paraId="17C8B5C2" w14:textId="77777777" w:rsidR="000466B4" w:rsidRDefault="000466B4" w:rsidP="00BB63BC">
      <w:pPr>
        <w:spacing w:line="276" w:lineRule="auto"/>
        <w:rPr>
          <w:rFonts w:ascii="Montserrat" w:hAnsi="Montserrat"/>
          <w:sz w:val="22"/>
          <w:szCs w:val="22"/>
        </w:rPr>
      </w:pPr>
    </w:p>
    <w:p w14:paraId="4FC6E6A6" w14:textId="3815ACD1" w:rsidR="00627A23" w:rsidRPr="00627A23" w:rsidRDefault="00627A23" w:rsidP="00580AE7">
      <w:pPr>
        <w:spacing w:line="276" w:lineRule="auto"/>
        <w:jc w:val="both"/>
        <w:rPr>
          <w:rFonts w:ascii="Montserrat" w:hAnsi="Montserrat"/>
          <w:b/>
          <w:bCs/>
          <w:sz w:val="22"/>
          <w:szCs w:val="22"/>
        </w:rPr>
      </w:pPr>
      <w:r>
        <w:rPr>
          <w:rFonts w:ascii="Montserrat" w:hAnsi="Montserrat"/>
          <w:b/>
          <w:bCs/>
          <w:sz w:val="22"/>
          <w:szCs w:val="22"/>
        </w:rPr>
        <w:t>Electronic Working</w:t>
      </w:r>
    </w:p>
    <w:p w14:paraId="25BD6C3A" w14:textId="77777777" w:rsidR="00627A23" w:rsidRDefault="00627A23" w:rsidP="00580AE7">
      <w:pPr>
        <w:spacing w:line="276" w:lineRule="auto"/>
        <w:jc w:val="both"/>
        <w:rPr>
          <w:rFonts w:ascii="Montserrat" w:hAnsi="Montserrat"/>
          <w:sz w:val="22"/>
          <w:szCs w:val="22"/>
        </w:rPr>
      </w:pPr>
    </w:p>
    <w:p w14:paraId="6606CFA7" w14:textId="1C8B4406" w:rsidR="006344E2" w:rsidRPr="00E31512" w:rsidRDefault="00A909D9" w:rsidP="00580AE7">
      <w:pPr>
        <w:spacing w:line="276" w:lineRule="auto"/>
        <w:jc w:val="both"/>
        <w:rPr>
          <w:rFonts w:ascii="Montserrat" w:hAnsi="Montserrat"/>
          <w:sz w:val="22"/>
          <w:szCs w:val="22"/>
        </w:rPr>
      </w:pPr>
      <w:r w:rsidRPr="00E31512">
        <w:rPr>
          <w:rFonts w:ascii="Montserrat" w:hAnsi="Montserrat"/>
          <w:sz w:val="22"/>
          <w:szCs w:val="22"/>
        </w:rPr>
        <w:t xml:space="preserve">3.8 – </w:t>
      </w:r>
      <w:r w:rsidR="000466B4">
        <w:rPr>
          <w:rFonts w:ascii="Montserrat" w:hAnsi="Montserrat"/>
          <w:sz w:val="22"/>
          <w:szCs w:val="22"/>
        </w:rPr>
        <w:t>A</w:t>
      </w:r>
      <w:r w:rsidR="006A469C" w:rsidRPr="00E31512">
        <w:rPr>
          <w:rFonts w:ascii="Montserrat" w:hAnsi="Montserrat"/>
          <w:sz w:val="22"/>
          <w:szCs w:val="22"/>
        </w:rPr>
        <w:t xml:space="preserve"> n</w:t>
      </w:r>
      <w:r w:rsidRPr="00E31512">
        <w:rPr>
          <w:rFonts w:ascii="Montserrat" w:hAnsi="Montserrat"/>
          <w:sz w:val="22"/>
          <w:szCs w:val="22"/>
        </w:rPr>
        <w:t>ew “Electronic Working” protocol in relation to filing.</w:t>
      </w:r>
    </w:p>
    <w:p w14:paraId="58617B4C" w14:textId="2EC40819" w:rsidR="00EA3725" w:rsidRPr="00E31512" w:rsidRDefault="00EA3725" w:rsidP="00580AE7">
      <w:pPr>
        <w:spacing w:line="276" w:lineRule="auto"/>
        <w:jc w:val="both"/>
        <w:rPr>
          <w:rFonts w:ascii="Montserrat" w:hAnsi="Montserrat"/>
          <w:sz w:val="22"/>
          <w:szCs w:val="22"/>
        </w:rPr>
      </w:pPr>
    </w:p>
    <w:p w14:paraId="66A04FFA" w14:textId="1372DFE2" w:rsidR="00627A23" w:rsidRPr="00627A23" w:rsidRDefault="00627A23" w:rsidP="00580AE7">
      <w:pPr>
        <w:spacing w:line="276" w:lineRule="auto"/>
        <w:jc w:val="both"/>
        <w:rPr>
          <w:rFonts w:ascii="Montserrat" w:hAnsi="Montserrat"/>
          <w:b/>
          <w:bCs/>
          <w:sz w:val="22"/>
          <w:szCs w:val="22"/>
        </w:rPr>
      </w:pPr>
      <w:r>
        <w:rPr>
          <w:rFonts w:ascii="Montserrat" w:hAnsi="Montserrat"/>
          <w:b/>
          <w:bCs/>
          <w:sz w:val="22"/>
          <w:szCs w:val="22"/>
        </w:rPr>
        <w:t>Access to the Court</w:t>
      </w:r>
    </w:p>
    <w:p w14:paraId="54197515" w14:textId="77777777" w:rsidR="00627A23" w:rsidRDefault="00627A23" w:rsidP="00580AE7">
      <w:pPr>
        <w:spacing w:line="276" w:lineRule="auto"/>
        <w:jc w:val="both"/>
        <w:rPr>
          <w:rFonts w:ascii="Montserrat" w:hAnsi="Montserrat"/>
          <w:sz w:val="22"/>
          <w:szCs w:val="22"/>
        </w:rPr>
      </w:pPr>
    </w:p>
    <w:p w14:paraId="317779BB" w14:textId="26A68F6B" w:rsidR="00EA3725" w:rsidRPr="00E31512" w:rsidRDefault="00204EF2" w:rsidP="00580AE7">
      <w:pPr>
        <w:spacing w:line="276" w:lineRule="auto"/>
        <w:jc w:val="both"/>
        <w:rPr>
          <w:rFonts w:ascii="Montserrat" w:hAnsi="Montserrat"/>
          <w:sz w:val="22"/>
          <w:szCs w:val="22"/>
        </w:rPr>
      </w:pPr>
      <w:r w:rsidRPr="00E31512">
        <w:rPr>
          <w:rFonts w:ascii="Montserrat" w:hAnsi="Montserrat"/>
          <w:sz w:val="22"/>
          <w:szCs w:val="22"/>
        </w:rPr>
        <w:t xml:space="preserve">4.3 – </w:t>
      </w:r>
      <w:r w:rsidR="00C72656">
        <w:rPr>
          <w:rFonts w:ascii="Montserrat" w:hAnsi="Montserrat"/>
          <w:sz w:val="22"/>
          <w:szCs w:val="22"/>
        </w:rPr>
        <w:t>A</w:t>
      </w:r>
      <w:r w:rsidR="003E4A2E" w:rsidRPr="00E31512">
        <w:rPr>
          <w:rFonts w:ascii="Montserrat" w:hAnsi="Montserrat"/>
          <w:sz w:val="22"/>
          <w:szCs w:val="22"/>
        </w:rPr>
        <w:t xml:space="preserve"> </w:t>
      </w:r>
      <w:r w:rsidR="006A469C" w:rsidRPr="00E31512">
        <w:rPr>
          <w:rFonts w:ascii="Montserrat" w:hAnsi="Montserrat"/>
          <w:sz w:val="22"/>
          <w:szCs w:val="22"/>
        </w:rPr>
        <w:t>n</w:t>
      </w:r>
      <w:r w:rsidRPr="00E31512">
        <w:rPr>
          <w:rFonts w:ascii="Montserrat" w:hAnsi="Montserrat"/>
          <w:sz w:val="22"/>
          <w:szCs w:val="22"/>
        </w:rPr>
        <w:t xml:space="preserve">ew “Mode of Hearing” section that makes </w:t>
      </w:r>
      <w:r w:rsidRPr="00E31512">
        <w:rPr>
          <w:rFonts w:ascii="Montserrat" w:hAnsi="Montserrat"/>
          <w:sz w:val="22"/>
          <w:szCs w:val="22"/>
          <w:u w:val="single"/>
        </w:rPr>
        <w:t>remote hearings the default mode for hearings under half a day</w:t>
      </w:r>
      <w:r w:rsidRPr="00E31512">
        <w:rPr>
          <w:rFonts w:ascii="Montserrat" w:hAnsi="Montserrat"/>
          <w:sz w:val="22"/>
          <w:szCs w:val="22"/>
        </w:rPr>
        <w:t>.</w:t>
      </w:r>
      <w:r w:rsidR="00243921" w:rsidRPr="00E31512">
        <w:rPr>
          <w:rFonts w:ascii="Montserrat" w:hAnsi="Montserrat"/>
          <w:sz w:val="22"/>
          <w:szCs w:val="22"/>
        </w:rPr>
        <w:t xml:space="preserve"> </w:t>
      </w:r>
    </w:p>
    <w:p w14:paraId="09209769" w14:textId="425D3B69" w:rsidR="00243921" w:rsidRPr="00E31512" w:rsidRDefault="00243921" w:rsidP="00580AE7">
      <w:pPr>
        <w:spacing w:line="276" w:lineRule="auto"/>
        <w:jc w:val="both"/>
        <w:rPr>
          <w:rFonts w:ascii="Montserrat" w:hAnsi="Montserrat"/>
          <w:sz w:val="22"/>
          <w:szCs w:val="22"/>
        </w:rPr>
      </w:pPr>
    </w:p>
    <w:p w14:paraId="0DBD01B1" w14:textId="3A27B6DE" w:rsidR="00243921" w:rsidRPr="00E31512" w:rsidRDefault="00243921" w:rsidP="00580AE7">
      <w:pPr>
        <w:spacing w:line="276" w:lineRule="auto"/>
        <w:jc w:val="both"/>
        <w:rPr>
          <w:rFonts w:ascii="Montserrat" w:hAnsi="Montserrat"/>
          <w:sz w:val="22"/>
          <w:szCs w:val="22"/>
        </w:rPr>
      </w:pPr>
      <w:r w:rsidRPr="00E31512">
        <w:rPr>
          <w:rFonts w:ascii="Montserrat" w:hAnsi="Montserrat"/>
          <w:sz w:val="22"/>
          <w:szCs w:val="22"/>
        </w:rPr>
        <w:t xml:space="preserve">4.5 – </w:t>
      </w:r>
      <w:r w:rsidR="00C72656">
        <w:rPr>
          <w:rFonts w:ascii="Montserrat" w:hAnsi="Montserrat"/>
          <w:sz w:val="22"/>
          <w:szCs w:val="22"/>
        </w:rPr>
        <w:t>A</w:t>
      </w:r>
      <w:r w:rsidRPr="00E31512">
        <w:rPr>
          <w:rFonts w:ascii="Montserrat" w:hAnsi="Montserrat"/>
          <w:sz w:val="22"/>
          <w:szCs w:val="22"/>
        </w:rPr>
        <w:t xml:space="preserve"> new process for submitting </w:t>
      </w:r>
      <w:r w:rsidR="006A469C" w:rsidRPr="00E31512">
        <w:rPr>
          <w:rFonts w:ascii="Montserrat" w:hAnsi="Montserrat"/>
          <w:sz w:val="22"/>
          <w:szCs w:val="22"/>
        </w:rPr>
        <w:t>P</w:t>
      </w:r>
      <w:r w:rsidRPr="00E31512">
        <w:rPr>
          <w:rFonts w:ascii="Montserrat" w:hAnsi="Montserrat"/>
          <w:sz w:val="22"/>
          <w:szCs w:val="22"/>
        </w:rPr>
        <w:t xml:space="preserve">aper / </w:t>
      </w:r>
      <w:r w:rsidR="006A469C" w:rsidRPr="00E31512">
        <w:rPr>
          <w:rFonts w:ascii="Montserrat" w:hAnsi="Montserrat"/>
          <w:sz w:val="22"/>
          <w:szCs w:val="22"/>
        </w:rPr>
        <w:t>E</w:t>
      </w:r>
      <w:r w:rsidRPr="00E31512">
        <w:rPr>
          <w:rFonts w:ascii="Montserrat" w:hAnsi="Montserrat"/>
          <w:sz w:val="22"/>
          <w:szCs w:val="22"/>
        </w:rPr>
        <w:t xml:space="preserve">lectronic </w:t>
      </w:r>
      <w:r w:rsidR="006A469C" w:rsidRPr="00E31512">
        <w:rPr>
          <w:rFonts w:ascii="Montserrat" w:hAnsi="Montserrat"/>
          <w:sz w:val="22"/>
          <w:szCs w:val="22"/>
        </w:rPr>
        <w:t>A</w:t>
      </w:r>
      <w:r w:rsidRPr="00E31512">
        <w:rPr>
          <w:rFonts w:ascii="Montserrat" w:hAnsi="Montserrat"/>
          <w:sz w:val="22"/>
          <w:szCs w:val="22"/>
        </w:rPr>
        <w:t xml:space="preserve">pplications. </w:t>
      </w:r>
    </w:p>
    <w:p w14:paraId="3C5FAFBB" w14:textId="3DE56D3A" w:rsidR="0081223F" w:rsidRPr="00E31512" w:rsidRDefault="0081223F" w:rsidP="00580AE7">
      <w:pPr>
        <w:spacing w:line="276" w:lineRule="auto"/>
        <w:jc w:val="both"/>
        <w:rPr>
          <w:rFonts w:ascii="Montserrat" w:hAnsi="Montserrat"/>
          <w:sz w:val="22"/>
          <w:szCs w:val="22"/>
        </w:rPr>
      </w:pPr>
    </w:p>
    <w:p w14:paraId="259C312C" w14:textId="154B36D4" w:rsidR="0081223F" w:rsidRDefault="0081223F" w:rsidP="00580AE7">
      <w:pPr>
        <w:spacing w:line="276" w:lineRule="auto"/>
        <w:jc w:val="both"/>
        <w:rPr>
          <w:rFonts w:ascii="Montserrat" w:hAnsi="Montserrat"/>
          <w:sz w:val="22"/>
          <w:szCs w:val="22"/>
        </w:rPr>
      </w:pPr>
      <w:r w:rsidRPr="00E31512">
        <w:rPr>
          <w:rFonts w:ascii="Montserrat" w:hAnsi="Montserrat"/>
          <w:sz w:val="22"/>
          <w:szCs w:val="22"/>
        </w:rPr>
        <w:t xml:space="preserve">4.9 – </w:t>
      </w:r>
      <w:r w:rsidR="00C72656">
        <w:rPr>
          <w:rFonts w:ascii="Montserrat" w:hAnsi="Montserrat"/>
          <w:sz w:val="22"/>
          <w:szCs w:val="22"/>
        </w:rPr>
        <w:t>A</w:t>
      </w:r>
      <w:r w:rsidRPr="00E31512">
        <w:rPr>
          <w:rFonts w:ascii="Montserrat" w:hAnsi="Montserrat"/>
          <w:sz w:val="22"/>
          <w:szCs w:val="22"/>
        </w:rPr>
        <w:t xml:space="preserve"> new section on Litigants in Person.</w:t>
      </w:r>
    </w:p>
    <w:p w14:paraId="5AA6D515" w14:textId="4D4962F1" w:rsidR="00627A23" w:rsidRDefault="00627A23" w:rsidP="00580AE7">
      <w:pPr>
        <w:spacing w:line="276" w:lineRule="auto"/>
        <w:jc w:val="both"/>
        <w:rPr>
          <w:rFonts w:ascii="Montserrat" w:hAnsi="Montserrat"/>
          <w:sz w:val="22"/>
          <w:szCs w:val="22"/>
        </w:rPr>
      </w:pPr>
    </w:p>
    <w:p w14:paraId="13658900" w14:textId="6FEDB771" w:rsidR="00627A23" w:rsidRPr="00627A23" w:rsidRDefault="00627A23" w:rsidP="00580AE7">
      <w:pPr>
        <w:spacing w:line="276" w:lineRule="auto"/>
        <w:jc w:val="both"/>
        <w:rPr>
          <w:rFonts w:ascii="Montserrat" w:hAnsi="Montserrat"/>
          <w:b/>
          <w:bCs/>
          <w:sz w:val="22"/>
          <w:szCs w:val="22"/>
        </w:rPr>
      </w:pPr>
      <w:r>
        <w:rPr>
          <w:rFonts w:ascii="Montserrat" w:hAnsi="Montserrat"/>
          <w:b/>
          <w:bCs/>
          <w:sz w:val="22"/>
          <w:szCs w:val="22"/>
        </w:rPr>
        <w:t>Case management in the TCC</w:t>
      </w:r>
    </w:p>
    <w:p w14:paraId="5C0ED455" w14:textId="3FF4B29F" w:rsidR="0081223F" w:rsidRPr="00E31512" w:rsidRDefault="0081223F" w:rsidP="00580AE7">
      <w:pPr>
        <w:spacing w:line="276" w:lineRule="auto"/>
        <w:jc w:val="both"/>
        <w:rPr>
          <w:rFonts w:ascii="Montserrat" w:hAnsi="Montserrat"/>
          <w:sz w:val="22"/>
          <w:szCs w:val="22"/>
        </w:rPr>
      </w:pPr>
    </w:p>
    <w:p w14:paraId="29754D43" w14:textId="21020368" w:rsidR="0081223F" w:rsidRPr="00E31512" w:rsidRDefault="0081223F" w:rsidP="00580AE7">
      <w:pPr>
        <w:spacing w:line="276" w:lineRule="auto"/>
        <w:jc w:val="both"/>
        <w:rPr>
          <w:rFonts w:ascii="Montserrat" w:hAnsi="Montserrat"/>
          <w:sz w:val="22"/>
          <w:szCs w:val="22"/>
        </w:rPr>
      </w:pPr>
      <w:r w:rsidRPr="00E31512">
        <w:rPr>
          <w:rFonts w:ascii="Montserrat" w:hAnsi="Montserrat"/>
          <w:sz w:val="22"/>
          <w:szCs w:val="22"/>
        </w:rPr>
        <w:t xml:space="preserve">5.2.2 – </w:t>
      </w:r>
      <w:r w:rsidR="00C72656">
        <w:rPr>
          <w:rFonts w:ascii="Montserrat" w:hAnsi="Montserrat"/>
          <w:sz w:val="22"/>
          <w:szCs w:val="22"/>
        </w:rPr>
        <w:t>N</w:t>
      </w:r>
      <w:r w:rsidRPr="00E31512">
        <w:rPr>
          <w:rFonts w:ascii="Montserrat" w:hAnsi="Montserrat"/>
          <w:sz w:val="22"/>
          <w:szCs w:val="22"/>
        </w:rPr>
        <w:t>ew guidance on timing / delay of a first CMC.</w:t>
      </w:r>
    </w:p>
    <w:p w14:paraId="721B47A1" w14:textId="1B97DB5C" w:rsidR="00A90006" w:rsidRPr="00E31512" w:rsidRDefault="00A90006" w:rsidP="00580AE7">
      <w:pPr>
        <w:spacing w:line="276" w:lineRule="auto"/>
        <w:jc w:val="both"/>
        <w:rPr>
          <w:rFonts w:ascii="Montserrat" w:hAnsi="Montserrat"/>
          <w:sz w:val="22"/>
          <w:szCs w:val="22"/>
        </w:rPr>
      </w:pPr>
    </w:p>
    <w:p w14:paraId="2BC7133E" w14:textId="4F48AFBF" w:rsidR="00A90006" w:rsidRPr="00E31512" w:rsidRDefault="00A90006" w:rsidP="00580AE7">
      <w:pPr>
        <w:spacing w:line="276" w:lineRule="auto"/>
        <w:jc w:val="both"/>
        <w:rPr>
          <w:rFonts w:ascii="Montserrat" w:hAnsi="Montserrat"/>
          <w:sz w:val="22"/>
          <w:szCs w:val="22"/>
        </w:rPr>
      </w:pPr>
      <w:r w:rsidRPr="00E31512">
        <w:rPr>
          <w:rFonts w:ascii="Montserrat" w:hAnsi="Montserrat"/>
          <w:sz w:val="22"/>
          <w:szCs w:val="22"/>
        </w:rPr>
        <w:t xml:space="preserve">5.3.3 – </w:t>
      </w:r>
      <w:r w:rsidR="00C72656">
        <w:rPr>
          <w:rFonts w:ascii="Montserrat" w:hAnsi="Montserrat"/>
          <w:sz w:val="22"/>
          <w:szCs w:val="22"/>
        </w:rPr>
        <w:t>I</w:t>
      </w:r>
      <w:r w:rsidRPr="00E31512">
        <w:rPr>
          <w:rFonts w:ascii="Montserrat" w:hAnsi="Montserrat"/>
          <w:sz w:val="22"/>
          <w:szCs w:val="22"/>
        </w:rPr>
        <w:t>n relation to the Case Management Information Sheet and Other Documents, it</w:t>
      </w:r>
      <w:r w:rsidRPr="00E31512">
        <w:rPr>
          <w:rFonts w:ascii="Montserrat" w:hAnsi="Montserrat"/>
          <w:b/>
          <w:bCs/>
          <w:sz w:val="22"/>
          <w:szCs w:val="22"/>
        </w:rPr>
        <w:t xml:space="preserve"> </w:t>
      </w:r>
      <w:r w:rsidRPr="00E31512">
        <w:rPr>
          <w:rFonts w:ascii="Montserrat" w:hAnsi="Montserrat"/>
          <w:sz w:val="22"/>
          <w:szCs w:val="22"/>
        </w:rPr>
        <w:t xml:space="preserve">is preferable to return the completed questionnaire and proposed directions </w:t>
      </w:r>
      <w:r w:rsidRPr="00E31512">
        <w:rPr>
          <w:rFonts w:ascii="Montserrat" w:hAnsi="Montserrat"/>
          <w:sz w:val="22"/>
          <w:szCs w:val="22"/>
          <w:u w:val="single"/>
        </w:rPr>
        <w:t>at least four clear days before the CMC</w:t>
      </w:r>
      <w:r w:rsidRPr="00E31512">
        <w:rPr>
          <w:rFonts w:ascii="Montserrat" w:hAnsi="Montserrat"/>
          <w:sz w:val="22"/>
          <w:szCs w:val="22"/>
        </w:rPr>
        <w:t>.</w:t>
      </w:r>
    </w:p>
    <w:p w14:paraId="20A34B64" w14:textId="33900ECD" w:rsidR="00A90006" w:rsidRPr="00E31512" w:rsidRDefault="00A90006" w:rsidP="00580AE7">
      <w:pPr>
        <w:spacing w:line="276" w:lineRule="auto"/>
        <w:jc w:val="both"/>
        <w:rPr>
          <w:rFonts w:ascii="Montserrat" w:hAnsi="Montserrat"/>
          <w:sz w:val="22"/>
          <w:szCs w:val="22"/>
        </w:rPr>
      </w:pPr>
    </w:p>
    <w:p w14:paraId="38948F49" w14:textId="1D4C68A1" w:rsidR="00A90006" w:rsidRPr="00E31512" w:rsidRDefault="00A90006" w:rsidP="00580AE7">
      <w:pPr>
        <w:spacing w:line="276" w:lineRule="auto"/>
        <w:jc w:val="both"/>
        <w:rPr>
          <w:rFonts w:ascii="Montserrat" w:hAnsi="Montserrat"/>
          <w:sz w:val="22"/>
          <w:szCs w:val="22"/>
        </w:rPr>
      </w:pPr>
      <w:r w:rsidRPr="00E31512">
        <w:rPr>
          <w:rFonts w:ascii="Montserrat" w:hAnsi="Montserrat"/>
          <w:sz w:val="22"/>
          <w:szCs w:val="22"/>
        </w:rPr>
        <w:t xml:space="preserve">5.3.4 – </w:t>
      </w:r>
      <w:r w:rsidR="00C72656">
        <w:rPr>
          <w:rFonts w:ascii="Montserrat" w:hAnsi="Montserrat"/>
          <w:sz w:val="22"/>
          <w:szCs w:val="22"/>
        </w:rPr>
        <w:t>P</w:t>
      </w:r>
      <w:r w:rsidRPr="00E31512">
        <w:rPr>
          <w:rFonts w:ascii="Montserrat" w:hAnsi="Montserrat"/>
          <w:sz w:val="22"/>
          <w:szCs w:val="22"/>
        </w:rPr>
        <w:t xml:space="preserve">arties must </w:t>
      </w:r>
      <w:r w:rsidR="003E4A2E" w:rsidRPr="00E31512">
        <w:rPr>
          <w:rFonts w:ascii="Montserrat" w:hAnsi="Montserrat"/>
          <w:sz w:val="22"/>
          <w:szCs w:val="22"/>
        </w:rPr>
        <w:t xml:space="preserve">file and </w:t>
      </w:r>
      <w:r w:rsidRPr="00E31512">
        <w:rPr>
          <w:rFonts w:ascii="Montserrat" w:hAnsi="Montserrat"/>
          <w:sz w:val="22"/>
          <w:szCs w:val="22"/>
        </w:rPr>
        <w:t xml:space="preserve">exchange costs budgets </w:t>
      </w:r>
      <w:r w:rsidRPr="00E31512">
        <w:rPr>
          <w:rFonts w:ascii="Montserrat" w:hAnsi="Montserrat"/>
          <w:sz w:val="22"/>
          <w:szCs w:val="22"/>
          <w:u w:val="single"/>
        </w:rPr>
        <w:t>not later than 21 days before the CMC</w:t>
      </w:r>
      <w:r w:rsidRPr="00E31512">
        <w:rPr>
          <w:rFonts w:ascii="Montserrat" w:hAnsi="Montserrat"/>
          <w:sz w:val="22"/>
          <w:szCs w:val="22"/>
        </w:rPr>
        <w:t>.</w:t>
      </w:r>
    </w:p>
    <w:p w14:paraId="25FD5F0D" w14:textId="04344873" w:rsidR="003E4A2E" w:rsidRPr="00E31512" w:rsidRDefault="003E4A2E" w:rsidP="00580AE7">
      <w:pPr>
        <w:spacing w:line="276" w:lineRule="auto"/>
        <w:jc w:val="both"/>
        <w:rPr>
          <w:rFonts w:ascii="Montserrat" w:hAnsi="Montserrat"/>
          <w:sz w:val="22"/>
          <w:szCs w:val="22"/>
        </w:rPr>
      </w:pPr>
    </w:p>
    <w:p w14:paraId="64CC0545" w14:textId="74395B67" w:rsidR="003E4A2E" w:rsidRPr="00E31512" w:rsidRDefault="003E4A2E" w:rsidP="00580AE7">
      <w:pPr>
        <w:spacing w:line="276" w:lineRule="auto"/>
        <w:jc w:val="both"/>
        <w:rPr>
          <w:rFonts w:ascii="Montserrat" w:hAnsi="Montserrat"/>
          <w:sz w:val="22"/>
          <w:szCs w:val="22"/>
        </w:rPr>
      </w:pPr>
      <w:r w:rsidRPr="00E31512">
        <w:rPr>
          <w:rFonts w:ascii="Montserrat" w:hAnsi="Montserrat"/>
          <w:sz w:val="22"/>
          <w:szCs w:val="22"/>
        </w:rPr>
        <w:t xml:space="preserve">5.3.5 – </w:t>
      </w:r>
      <w:r w:rsidR="00C72656">
        <w:rPr>
          <w:rFonts w:ascii="Montserrat" w:hAnsi="Montserrat"/>
          <w:sz w:val="22"/>
          <w:szCs w:val="22"/>
        </w:rPr>
        <w:t>C</w:t>
      </w:r>
      <w:r w:rsidRPr="00E31512">
        <w:rPr>
          <w:rFonts w:ascii="Montserrat" w:hAnsi="Montserrat"/>
          <w:sz w:val="22"/>
          <w:szCs w:val="22"/>
        </w:rPr>
        <w:t>ases where the costs management / budgeting does not apply.</w:t>
      </w:r>
    </w:p>
    <w:p w14:paraId="780C2E28" w14:textId="0653AAC6" w:rsidR="003E4A2E" w:rsidRPr="00E31512" w:rsidRDefault="003E4A2E" w:rsidP="00580AE7">
      <w:pPr>
        <w:spacing w:line="276" w:lineRule="auto"/>
        <w:jc w:val="both"/>
        <w:rPr>
          <w:rFonts w:ascii="Montserrat" w:hAnsi="Montserrat"/>
          <w:sz w:val="22"/>
          <w:szCs w:val="22"/>
        </w:rPr>
      </w:pPr>
    </w:p>
    <w:p w14:paraId="22EB3C83" w14:textId="2ACB8FDA" w:rsidR="003E4A2E" w:rsidRPr="00E31512" w:rsidRDefault="003E4A2E" w:rsidP="00580AE7">
      <w:pPr>
        <w:spacing w:line="276" w:lineRule="auto"/>
        <w:jc w:val="both"/>
        <w:rPr>
          <w:rFonts w:ascii="Montserrat" w:hAnsi="Montserrat"/>
          <w:sz w:val="22"/>
          <w:szCs w:val="22"/>
        </w:rPr>
      </w:pPr>
      <w:r w:rsidRPr="00E31512">
        <w:rPr>
          <w:rFonts w:ascii="Montserrat" w:hAnsi="Montserrat"/>
          <w:sz w:val="22"/>
          <w:szCs w:val="22"/>
        </w:rPr>
        <w:t xml:space="preserve">5.3.6 – </w:t>
      </w:r>
      <w:r w:rsidR="00C72656">
        <w:rPr>
          <w:rFonts w:ascii="Montserrat" w:hAnsi="Montserrat"/>
          <w:sz w:val="22"/>
          <w:szCs w:val="22"/>
        </w:rPr>
        <w:t>T</w:t>
      </w:r>
      <w:r w:rsidRPr="00E31512">
        <w:rPr>
          <w:rFonts w:ascii="Montserrat" w:hAnsi="Montserrat"/>
          <w:sz w:val="22"/>
          <w:szCs w:val="22"/>
        </w:rPr>
        <w:t xml:space="preserve">he claimant’s solicitor is responsible for ensuring that a Permanent Case Management Bundle is provided </w:t>
      </w:r>
      <w:r w:rsidRPr="00E31512">
        <w:rPr>
          <w:rFonts w:ascii="Montserrat" w:hAnsi="Montserrat"/>
          <w:sz w:val="22"/>
          <w:szCs w:val="22"/>
          <w:u w:val="single"/>
        </w:rPr>
        <w:t>not less than 2 working days before the hearing of the first CMC</w:t>
      </w:r>
      <w:r w:rsidRPr="00E31512">
        <w:rPr>
          <w:rFonts w:ascii="Montserrat" w:hAnsi="Montserrat"/>
          <w:sz w:val="22"/>
          <w:szCs w:val="22"/>
        </w:rPr>
        <w:t xml:space="preserve">. </w:t>
      </w:r>
    </w:p>
    <w:p w14:paraId="11B5BA2F" w14:textId="77777777" w:rsidR="003E4A2E" w:rsidRPr="00E31512" w:rsidRDefault="003E4A2E" w:rsidP="00580AE7">
      <w:pPr>
        <w:spacing w:line="276" w:lineRule="auto"/>
        <w:jc w:val="both"/>
        <w:rPr>
          <w:rFonts w:ascii="Montserrat" w:hAnsi="Montserrat"/>
          <w:sz w:val="22"/>
          <w:szCs w:val="22"/>
        </w:rPr>
      </w:pPr>
    </w:p>
    <w:p w14:paraId="52CB1351" w14:textId="4F2369CC" w:rsidR="003E4A2E" w:rsidRPr="00E31512" w:rsidRDefault="003E4A2E" w:rsidP="00580AE7">
      <w:pPr>
        <w:spacing w:line="276" w:lineRule="auto"/>
        <w:jc w:val="both"/>
        <w:rPr>
          <w:rFonts w:ascii="Montserrat" w:hAnsi="Montserrat"/>
          <w:sz w:val="22"/>
          <w:szCs w:val="22"/>
        </w:rPr>
      </w:pPr>
      <w:r w:rsidRPr="00E31512">
        <w:rPr>
          <w:rFonts w:ascii="Montserrat" w:hAnsi="Montserrat"/>
          <w:sz w:val="22"/>
          <w:szCs w:val="22"/>
        </w:rPr>
        <w:t xml:space="preserve">5.3.7 – </w:t>
      </w:r>
      <w:r w:rsidR="00C72656">
        <w:rPr>
          <w:rFonts w:ascii="Montserrat" w:hAnsi="Montserrat"/>
          <w:sz w:val="22"/>
          <w:szCs w:val="22"/>
        </w:rPr>
        <w:t>I</w:t>
      </w:r>
      <w:r w:rsidRPr="00E31512">
        <w:rPr>
          <w:rFonts w:ascii="Montserrat" w:hAnsi="Montserrat"/>
          <w:sz w:val="22"/>
          <w:szCs w:val="22"/>
        </w:rPr>
        <w:t xml:space="preserve">f the case is proceeding in the </w:t>
      </w:r>
      <w:r w:rsidRPr="00E31512">
        <w:rPr>
          <w:rFonts w:ascii="Montserrat" w:hAnsi="Montserrat"/>
          <w:b/>
          <w:bCs/>
          <w:sz w:val="22"/>
          <w:szCs w:val="22"/>
        </w:rPr>
        <w:t>High Court</w:t>
      </w:r>
      <w:r w:rsidRPr="00E31512">
        <w:rPr>
          <w:rFonts w:ascii="Montserrat" w:hAnsi="Montserrat"/>
          <w:sz w:val="22"/>
          <w:szCs w:val="22"/>
        </w:rPr>
        <w:t>, the advocates should prepare a Note</w:t>
      </w:r>
      <w:r w:rsidR="003C4325" w:rsidRPr="00E31512">
        <w:rPr>
          <w:rFonts w:ascii="Montserrat" w:hAnsi="Montserrat"/>
          <w:sz w:val="22"/>
          <w:szCs w:val="22"/>
        </w:rPr>
        <w:t xml:space="preserve"> (and skeleton arguments for applications under 6.5.4 and 6.5.5)</w:t>
      </w:r>
      <w:r w:rsidRPr="00E31512">
        <w:rPr>
          <w:rFonts w:ascii="Montserrat" w:hAnsi="Montserrat"/>
          <w:sz w:val="22"/>
          <w:szCs w:val="22"/>
        </w:rPr>
        <w:t xml:space="preserve"> to be exchanged and provided to the judge </w:t>
      </w:r>
      <w:r w:rsidRPr="00E31512">
        <w:rPr>
          <w:rFonts w:ascii="Montserrat" w:hAnsi="Montserrat"/>
          <w:sz w:val="22"/>
          <w:szCs w:val="22"/>
          <w:u w:val="single"/>
        </w:rPr>
        <w:t xml:space="preserve">at the latest by 4 pm </w:t>
      </w:r>
      <w:r w:rsidRPr="00E31512">
        <w:rPr>
          <w:rFonts w:ascii="Montserrat" w:hAnsi="Montserrat"/>
          <w:b/>
          <w:bCs/>
          <w:sz w:val="22"/>
          <w:szCs w:val="22"/>
          <w:u w:val="single"/>
        </w:rPr>
        <w:t>two</w:t>
      </w:r>
      <w:r w:rsidRPr="00E31512">
        <w:rPr>
          <w:rFonts w:ascii="Montserrat" w:hAnsi="Montserrat"/>
          <w:sz w:val="22"/>
          <w:szCs w:val="22"/>
          <w:u w:val="single"/>
        </w:rPr>
        <w:t xml:space="preserve"> clear working days before the CMC</w:t>
      </w:r>
      <w:r w:rsidRPr="00E31512">
        <w:rPr>
          <w:rFonts w:ascii="Montserrat" w:hAnsi="Montserrat"/>
          <w:sz w:val="22"/>
          <w:szCs w:val="22"/>
        </w:rPr>
        <w:t>.</w:t>
      </w:r>
      <w:r w:rsidR="003C4325" w:rsidRPr="00E31512">
        <w:rPr>
          <w:rFonts w:ascii="Montserrat" w:hAnsi="Montserrat"/>
          <w:sz w:val="22"/>
          <w:szCs w:val="22"/>
        </w:rPr>
        <w:t xml:space="preserve"> </w:t>
      </w:r>
    </w:p>
    <w:p w14:paraId="733880E5" w14:textId="59B5C926" w:rsidR="003E4A2E" w:rsidRPr="00E31512" w:rsidRDefault="003E4A2E" w:rsidP="00580AE7">
      <w:pPr>
        <w:spacing w:line="276" w:lineRule="auto"/>
        <w:jc w:val="both"/>
        <w:rPr>
          <w:rFonts w:ascii="Montserrat" w:hAnsi="Montserrat"/>
          <w:sz w:val="22"/>
          <w:szCs w:val="22"/>
        </w:rPr>
      </w:pPr>
    </w:p>
    <w:p w14:paraId="2DF2AFAA" w14:textId="08570108" w:rsidR="003E4A2E" w:rsidRPr="00E31512" w:rsidRDefault="00F11CEA" w:rsidP="00580AE7">
      <w:pPr>
        <w:spacing w:line="276" w:lineRule="auto"/>
        <w:jc w:val="both"/>
        <w:rPr>
          <w:rFonts w:ascii="Montserrat" w:hAnsi="Montserrat"/>
          <w:sz w:val="22"/>
          <w:szCs w:val="22"/>
        </w:rPr>
      </w:pPr>
      <w:r w:rsidRPr="00E31512">
        <w:rPr>
          <w:rFonts w:ascii="Montserrat" w:hAnsi="Montserrat"/>
          <w:sz w:val="22"/>
          <w:szCs w:val="22"/>
        </w:rPr>
        <w:t xml:space="preserve">5.3.8 – </w:t>
      </w:r>
      <w:r w:rsidR="00C72656">
        <w:rPr>
          <w:rFonts w:ascii="Montserrat" w:hAnsi="Montserrat"/>
          <w:sz w:val="22"/>
          <w:szCs w:val="22"/>
        </w:rPr>
        <w:t>F</w:t>
      </w:r>
      <w:r w:rsidRPr="00E31512">
        <w:rPr>
          <w:rFonts w:ascii="Montserrat" w:hAnsi="Montserrat"/>
          <w:sz w:val="22"/>
          <w:szCs w:val="22"/>
        </w:rPr>
        <w:t xml:space="preserve">or cases in the </w:t>
      </w:r>
      <w:r w:rsidRPr="00E31512">
        <w:rPr>
          <w:rFonts w:ascii="Montserrat" w:hAnsi="Montserrat"/>
          <w:b/>
          <w:bCs/>
          <w:sz w:val="22"/>
          <w:szCs w:val="22"/>
        </w:rPr>
        <w:t>County Court</w:t>
      </w:r>
      <w:r w:rsidR="00BB63BC" w:rsidRPr="00E31512">
        <w:rPr>
          <w:rFonts w:ascii="Montserrat" w:hAnsi="Montserrat"/>
          <w:sz w:val="22"/>
          <w:szCs w:val="22"/>
        </w:rPr>
        <w:t>,</w:t>
      </w:r>
      <w:r w:rsidRPr="00E31512">
        <w:rPr>
          <w:rFonts w:ascii="Montserrat" w:hAnsi="Montserrat"/>
          <w:sz w:val="22"/>
          <w:szCs w:val="22"/>
        </w:rPr>
        <w:t xml:space="preserve"> Notes should be proved </w:t>
      </w:r>
      <w:r w:rsidRPr="00E31512">
        <w:rPr>
          <w:rFonts w:ascii="Montserrat" w:hAnsi="Montserrat"/>
          <w:sz w:val="22"/>
          <w:szCs w:val="22"/>
          <w:u w:val="single"/>
        </w:rPr>
        <w:t xml:space="preserve">at the latest by 4pm </w:t>
      </w:r>
      <w:r w:rsidRPr="00E31512">
        <w:rPr>
          <w:rFonts w:ascii="Montserrat" w:hAnsi="Montserrat"/>
          <w:b/>
          <w:bCs/>
          <w:sz w:val="22"/>
          <w:szCs w:val="22"/>
          <w:u w:val="single"/>
        </w:rPr>
        <w:t>one</w:t>
      </w:r>
      <w:r w:rsidRPr="00E31512">
        <w:rPr>
          <w:rFonts w:ascii="Montserrat" w:hAnsi="Montserrat"/>
          <w:sz w:val="22"/>
          <w:szCs w:val="22"/>
          <w:u w:val="single"/>
        </w:rPr>
        <w:t xml:space="preserve"> clear working day before the CMC</w:t>
      </w:r>
      <w:r w:rsidRPr="00E31512">
        <w:rPr>
          <w:rFonts w:ascii="Montserrat" w:hAnsi="Montserrat"/>
          <w:sz w:val="22"/>
          <w:szCs w:val="22"/>
        </w:rPr>
        <w:t>.</w:t>
      </w:r>
    </w:p>
    <w:p w14:paraId="3C08DE76" w14:textId="3B4B233E" w:rsidR="00F11CEA" w:rsidRPr="00E31512" w:rsidRDefault="00F11CEA" w:rsidP="00580AE7">
      <w:pPr>
        <w:spacing w:line="276" w:lineRule="auto"/>
        <w:jc w:val="both"/>
        <w:rPr>
          <w:rFonts w:ascii="Montserrat" w:hAnsi="Montserrat"/>
          <w:sz w:val="22"/>
          <w:szCs w:val="22"/>
        </w:rPr>
      </w:pPr>
    </w:p>
    <w:p w14:paraId="4C93DB36" w14:textId="0935D74D" w:rsidR="00F11CEA" w:rsidRPr="00E31512" w:rsidRDefault="00F11CEA" w:rsidP="00580AE7">
      <w:pPr>
        <w:spacing w:line="276" w:lineRule="auto"/>
        <w:jc w:val="both"/>
        <w:rPr>
          <w:rFonts w:ascii="Montserrat" w:hAnsi="Montserrat"/>
          <w:sz w:val="22"/>
          <w:szCs w:val="22"/>
        </w:rPr>
      </w:pPr>
      <w:r w:rsidRPr="00E31512">
        <w:rPr>
          <w:rFonts w:ascii="Montserrat" w:hAnsi="Montserrat"/>
          <w:sz w:val="22"/>
          <w:szCs w:val="22"/>
        </w:rPr>
        <w:t>5.4.2</w:t>
      </w:r>
      <w:r w:rsidR="00B8226E" w:rsidRPr="00E31512">
        <w:rPr>
          <w:rFonts w:ascii="Montserrat" w:hAnsi="Montserrat"/>
          <w:sz w:val="22"/>
          <w:szCs w:val="22"/>
        </w:rPr>
        <w:t xml:space="preserve"> – </w:t>
      </w:r>
      <w:r w:rsidR="00C72656">
        <w:rPr>
          <w:rFonts w:ascii="Montserrat" w:hAnsi="Montserrat"/>
          <w:sz w:val="22"/>
          <w:szCs w:val="22"/>
        </w:rPr>
        <w:t>T</w:t>
      </w:r>
      <w:r w:rsidR="00B8226E" w:rsidRPr="00E31512">
        <w:rPr>
          <w:rFonts w:ascii="Montserrat" w:hAnsi="Montserrat"/>
          <w:sz w:val="22"/>
          <w:szCs w:val="22"/>
        </w:rPr>
        <w:t xml:space="preserve">he trial fee is usually payable </w:t>
      </w:r>
      <w:r w:rsidR="00B8226E" w:rsidRPr="00E31512">
        <w:rPr>
          <w:rFonts w:ascii="Montserrat" w:hAnsi="Montserrat"/>
          <w:sz w:val="22"/>
          <w:szCs w:val="22"/>
          <w:u w:val="single"/>
        </w:rPr>
        <w:t>at least 2 months prior to the trial date.</w:t>
      </w:r>
      <w:r w:rsidR="00B8226E" w:rsidRPr="00E31512">
        <w:rPr>
          <w:rFonts w:ascii="Montserrat" w:hAnsi="Montserrat"/>
          <w:sz w:val="22"/>
          <w:szCs w:val="22"/>
        </w:rPr>
        <w:t xml:space="preserve"> If the trial fee is not paid on or before the trial fee payment date then the claim will be automatically struck out.</w:t>
      </w:r>
    </w:p>
    <w:p w14:paraId="7CD0CE84" w14:textId="718F9AEE" w:rsidR="00B8226E" w:rsidRPr="00E31512" w:rsidRDefault="00B8226E" w:rsidP="00580AE7">
      <w:pPr>
        <w:spacing w:line="276" w:lineRule="auto"/>
        <w:jc w:val="both"/>
        <w:rPr>
          <w:rFonts w:ascii="Montserrat" w:hAnsi="Montserrat"/>
          <w:sz w:val="22"/>
          <w:szCs w:val="22"/>
        </w:rPr>
      </w:pPr>
    </w:p>
    <w:p w14:paraId="2D379BC4" w14:textId="6DA80038" w:rsidR="00B8226E" w:rsidRPr="00E31512" w:rsidRDefault="00B8226E" w:rsidP="00580AE7">
      <w:pPr>
        <w:spacing w:line="276" w:lineRule="auto"/>
        <w:jc w:val="both"/>
        <w:rPr>
          <w:rFonts w:ascii="Montserrat" w:hAnsi="Montserrat"/>
          <w:sz w:val="22"/>
          <w:szCs w:val="22"/>
        </w:rPr>
      </w:pPr>
      <w:r w:rsidRPr="00E31512">
        <w:rPr>
          <w:rFonts w:ascii="Montserrat" w:hAnsi="Montserrat"/>
          <w:sz w:val="22"/>
          <w:szCs w:val="22"/>
        </w:rPr>
        <w:t>5.5.3 –</w:t>
      </w:r>
      <w:r w:rsidRPr="00C72656">
        <w:rPr>
          <w:rFonts w:ascii="Montserrat" w:hAnsi="Montserrat"/>
          <w:sz w:val="22"/>
          <w:szCs w:val="22"/>
        </w:rPr>
        <w:t xml:space="preserve"> </w:t>
      </w:r>
      <w:r w:rsidR="00C72656">
        <w:rPr>
          <w:rFonts w:ascii="Montserrat" w:hAnsi="Montserrat"/>
          <w:sz w:val="22"/>
          <w:szCs w:val="22"/>
        </w:rPr>
        <w:t>T</w:t>
      </w:r>
      <w:r w:rsidRPr="00E31512">
        <w:rPr>
          <w:rFonts w:ascii="Montserrat" w:hAnsi="Montserrat"/>
          <w:sz w:val="22"/>
          <w:szCs w:val="22"/>
        </w:rPr>
        <w:t xml:space="preserve">he time for filing of the reply is </w:t>
      </w:r>
      <w:r w:rsidRPr="00E31512">
        <w:rPr>
          <w:rFonts w:ascii="Montserrat" w:hAnsi="Montserrat"/>
          <w:sz w:val="22"/>
          <w:szCs w:val="22"/>
          <w:u w:val="single"/>
        </w:rPr>
        <w:t>21 days after service of the defence</w:t>
      </w:r>
      <w:r w:rsidRPr="00E31512">
        <w:rPr>
          <w:rFonts w:ascii="Montserrat" w:hAnsi="Montserrat"/>
          <w:sz w:val="22"/>
          <w:szCs w:val="22"/>
        </w:rPr>
        <w:t>.</w:t>
      </w:r>
    </w:p>
    <w:p w14:paraId="6FCBF740" w14:textId="7ED932D4" w:rsidR="005A2107" w:rsidRPr="00E31512" w:rsidRDefault="005A2107" w:rsidP="00580AE7">
      <w:pPr>
        <w:spacing w:line="276" w:lineRule="auto"/>
        <w:jc w:val="both"/>
        <w:rPr>
          <w:rFonts w:ascii="Montserrat" w:hAnsi="Montserrat"/>
          <w:sz w:val="22"/>
          <w:szCs w:val="22"/>
        </w:rPr>
      </w:pPr>
    </w:p>
    <w:p w14:paraId="6D7FF476" w14:textId="68915FAE" w:rsidR="005A2107" w:rsidRPr="00E31512" w:rsidRDefault="005A2107" w:rsidP="00580AE7">
      <w:pPr>
        <w:spacing w:line="276" w:lineRule="auto"/>
        <w:jc w:val="both"/>
        <w:rPr>
          <w:rFonts w:ascii="Montserrat" w:hAnsi="Montserrat"/>
          <w:sz w:val="22"/>
          <w:szCs w:val="22"/>
        </w:rPr>
      </w:pPr>
      <w:r w:rsidRPr="00E31512">
        <w:rPr>
          <w:rFonts w:ascii="Montserrat" w:hAnsi="Montserrat"/>
          <w:sz w:val="22"/>
          <w:szCs w:val="22"/>
        </w:rPr>
        <w:t xml:space="preserve">5.5.6 – After service of the defence and prior to the CMC </w:t>
      </w:r>
      <w:r w:rsidRPr="00E31512">
        <w:rPr>
          <w:rFonts w:ascii="Montserrat" w:hAnsi="Montserrat"/>
          <w:sz w:val="22"/>
          <w:szCs w:val="22"/>
          <w:u w:val="single"/>
        </w:rPr>
        <w:t>the claimant should circulate a list of the key issues of fact and law</w:t>
      </w:r>
      <w:r w:rsidRPr="00E31512">
        <w:rPr>
          <w:rFonts w:ascii="Montserrat" w:hAnsi="Montserrat"/>
          <w:sz w:val="22"/>
          <w:szCs w:val="22"/>
        </w:rPr>
        <w:t xml:space="preserve"> in the case in electronic format.</w:t>
      </w:r>
    </w:p>
    <w:p w14:paraId="2C108B8D" w14:textId="11C664EF" w:rsidR="005A2107" w:rsidRPr="00E31512" w:rsidRDefault="005A2107" w:rsidP="00580AE7">
      <w:pPr>
        <w:spacing w:line="276" w:lineRule="auto"/>
        <w:jc w:val="both"/>
        <w:rPr>
          <w:rFonts w:ascii="Montserrat" w:hAnsi="Montserrat"/>
          <w:sz w:val="22"/>
          <w:szCs w:val="22"/>
        </w:rPr>
      </w:pPr>
    </w:p>
    <w:p w14:paraId="031AEDF5" w14:textId="3B34D3D2" w:rsidR="005A2107" w:rsidRDefault="005A2107" w:rsidP="00580AE7">
      <w:pPr>
        <w:spacing w:line="276" w:lineRule="auto"/>
        <w:jc w:val="both"/>
        <w:rPr>
          <w:rFonts w:ascii="Montserrat" w:hAnsi="Montserrat"/>
          <w:sz w:val="22"/>
          <w:szCs w:val="22"/>
        </w:rPr>
      </w:pPr>
      <w:r w:rsidRPr="00E31512">
        <w:rPr>
          <w:rFonts w:ascii="Montserrat" w:hAnsi="Montserrat"/>
          <w:sz w:val="22"/>
          <w:szCs w:val="22"/>
        </w:rPr>
        <w:t xml:space="preserve">5.8 – </w:t>
      </w:r>
      <w:r w:rsidR="00C72656">
        <w:rPr>
          <w:rFonts w:ascii="Montserrat" w:hAnsi="Montserrat"/>
          <w:sz w:val="22"/>
          <w:szCs w:val="22"/>
        </w:rPr>
        <w:t>N</w:t>
      </w:r>
      <w:r w:rsidRPr="00E31512">
        <w:rPr>
          <w:rFonts w:ascii="Montserrat" w:hAnsi="Montserrat"/>
          <w:sz w:val="22"/>
          <w:szCs w:val="22"/>
        </w:rPr>
        <w:t xml:space="preserve">ew guidance on </w:t>
      </w:r>
      <w:r w:rsidRPr="00E31512">
        <w:rPr>
          <w:rFonts w:ascii="Montserrat" w:hAnsi="Montserrat"/>
          <w:sz w:val="22"/>
          <w:szCs w:val="22"/>
          <w:u w:val="single"/>
        </w:rPr>
        <w:t>who should attend CMCs</w:t>
      </w:r>
      <w:r w:rsidRPr="00E31512">
        <w:rPr>
          <w:rFonts w:ascii="Montserrat" w:hAnsi="Montserrat"/>
          <w:sz w:val="22"/>
          <w:szCs w:val="22"/>
        </w:rPr>
        <w:t>.</w:t>
      </w:r>
    </w:p>
    <w:p w14:paraId="4BDFBACF" w14:textId="610E699E" w:rsidR="009262AD" w:rsidRDefault="009262AD" w:rsidP="00580AE7">
      <w:pPr>
        <w:spacing w:line="276" w:lineRule="auto"/>
        <w:jc w:val="both"/>
        <w:rPr>
          <w:rFonts w:ascii="Montserrat" w:hAnsi="Montserrat"/>
          <w:sz w:val="22"/>
          <w:szCs w:val="22"/>
        </w:rPr>
      </w:pPr>
    </w:p>
    <w:p w14:paraId="00F6CB1D" w14:textId="6C43F897" w:rsidR="009262AD" w:rsidRPr="009262AD" w:rsidRDefault="009262AD" w:rsidP="00580AE7">
      <w:pPr>
        <w:spacing w:line="276" w:lineRule="auto"/>
        <w:jc w:val="both"/>
        <w:rPr>
          <w:rFonts w:ascii="Montserrat" w:hAnsi="Montserrat"/>
          <w:b/>
          <w:bCs/>
          <w:sz w:val="22"/>
          <w:szCs w:val="22"/>
        </w:rPr>
      </w:pPr>
      <w:r>
        <w:rPr>
          <w:rFonts w:ascii="Montserrat" w:hAnsi="Montserrat"/>
          <w:b/>
          <w:bCs/>
          <w:sz w:val="22"/>
          <w:szCs w:val="22"/>
        </w:rPr>
        <w:t>Applications after the first CMC</w:t>
      </w:r>
    </w:p>
    <w:p w14:paraId="7DAAA459" w14:textId="166FF806" w:rsidR="00AE547F" w:rsidRPr="00E31512" w:rsidRDefault="00AE547F" w:rsidP="00580AE7">
      <w:pPr>
        <w:spacing w:line="276" w:lineRule="auto"/>
        <w:jc w:val="both"/>
        <w:rPr>
          <w:rFonts w:ascii="Montserrat" w:hAnsi="Montserrat"/>
          <w:sz w:val="22"/>
          <w:szCs w:val="22"/>
        </w:rPr>
      </w:pPr>
    </w:p>
    <w:p w14:paraId="608AC43C" w14:textId="372D6BFE" w:rsidR="00AE547F" w:rsidRPr="00E31512" w:rsidRDefault="00AE547F" w:rsidP="00580AE7">
      <w:pPr>
        <w:spacing w:line="276" w:lineRule="auto"/>
        <w:jc w:val="both"/>
        <w:rPr>
          <w:rFonts w:ascii="Montserrat" w:hAnsi="Montserrat"/>
          <w:sz w:val="22"/>
          <w:szCs w:val="22"/>
        </w:rPr>
      </w:pPr>
      <w:r w:rsidRPr="00E31512">
        <w:rPr>
          <w:rFonts w:ascii="Montserrat" w:hAnsi="Montserrat"/>
          <w:sz w:val="22"/>
          <w:szCs w:val="22"/>
        </w:rPr>
        <w:t xml:space="preserve">6.5.2 – The permanent case management bundle should be provided to the court in </w:t>
      </w:r>
      <w:r w:rsidRPr="00E31512">
        <w:rPr>
          <w:rFonts w:ascii="Montserrat" w:hAnsi="Montserrat"/>
          <w:sz w:val="22"/>
          <w:szCs w:val="22"/>
          <w:u w:val="single"/>
        </w:rPr>
        <w:t>electronic form not less than 2 working days</w:t>
      </w:r>
      <w:r w:rsidRPr="00E31512">
        <w:rPr>
          <w:rFonts w:ascii="Montserrat" w:hAnsi="Montserrat"/>
          <w:b/>
          <w:bCs/>
          <w:sz w:val="22"/>
          <w:szCs w:val="22"/>
          <w:u w:val="single"/>
        </w:rPr>
        <w:t xml:space="preserve"> </w:t>
      </w:r>
      <w:r w:rsidRPr="00E31512">
        <w:rPr>
          <w:rFonts w:ascii="Montserrat" w:hAnsi="Montserrat"/>
          <w:sz w:val="22"/>
          <w:szCs w:val="22"/>
          <w:u w:val="single"/>
        </w:rPr>
        <w:t>before the hearing</w:t>
      </w:r>
      <w:r w:rsidRPr="00E31512">
        <w:rPr>
          <w:rFonts w:ascii="Montserrat" w:hAnsi="Montserrat"/>
          <w:sz w:val="22"/>
          <w:szCs w:val="22"/>
        </w:rPr>
        <w:t>.</w:t>
      </w:r>
    </w:p>
    <w:p w14:paraId="6494CD02" w14:textId="3B89A87C" w:rsidR="003C3FFE" w:rsidRPr="00E31512" w:rsidRDefault="003C3FFE" w:rsidP="00580AE7">
      <w:pPr>
        <w:spacing w:line="276" w:lineRule="auto"/>
        <w:jc w:val="both"/>
        <w:rPr>
          <w:rFonts w:ascii="Montserrat" w:hAnsi="Montserrat"/>
          <w:sz w:val="22"/>
          <w:szCs w:val="22"/>
        </w:rPr>
      </w:pPr>
    </w:p>
    <w:p w14:paraId="2B115FF6" w14:textId="75EBEBED" w:rsidR="003C3FFE" w:rsidRPr="00E31512" w:rsidRDefault="003C3FFE" w:rsidP="00580AE7">
      <w:pPr>
        <w:spacing w:line="276" w:lineRule="auto"/>
        <w:jc w:val="both"/>
        <w:rPr>
          <w:rFonts w:ascii="Montserrat" w:hAnsi="Montserrat"/>
          <w:sz w:val="22"/>
          <w:szCs w:val="22"/>
        </w:rPr>
      </w:pPr>
      <w:r w:rsidRPr="00E31512">
        <w:rPr>
          <w:rFonts w:ascii="Montserrat" w:hAnsi="Montserrat"/>
          <w:sz w:val="22"/>
          <w:szCs w:val="22"/>
        </w:rPr>
        <w:t xml:space="preserve">6.5.3 – </w:t>
      </w:r>
      <w:r w:rsidR="00C72656">
        <w:rPr>
          <w:rFonts w:ascii="Montserrat" w:hAnsi="Montserrat"/>
          <w:sz w:val="22"/>
          <w:szCs w:val="22"/>
        </w:rPr>
        <w:t>R</w:t>
      </w:r>
      <w:r w:rsidRPr="00E31512">
        <w:rPr>
          <w:rFonts w:ascii="Montserrat" w:hAnsi="Montserrat"/>
          <w:sz w:val="22"/>
          <w:szCs w:val="22"/>
        </w:rPr>
        <w:t>equirements where the Judge requests a hard copy bundle.</w:t>
      </w:r>
    </w:p>
    <w:p w14:paraId="7E24FF9C" w14:textId="6C6F06A5" w:rsidR="003C3FFE" w:rsidRPr="00E31512" w:rsidRDefault="003C3FFE" w:rsidP="00580AE7">
      <w:pPr>
        <w:spacing w:line="276" w:lineRule="auto"/>
        <w:jc w:val="both"/>
        <w:rPr>
          <w:rFonts w:ascii="Montserrat" w:hAnsi="Montserrat"/>
          <w:sz w:val="22"/>
          <w:szCs w:val="22"/>
        </w:rPr>
      </w:pPr>
    </w:p>
    <w:p w14:paraId="7A5ED542" w14:textId="1D13CD85" w:rsidR="003C3FFE" w:rsidRPr="00E31512" w:rsidRDefault="003C3FFE" w:rsidP="00580AE7">
      <w:pPr>
        <w:spacing w:line="276" w:lineRule="auto"/>
        <w:jc w:val="both"/>
        <w:rPr>
          <w:rFonts w:ascii="Montserrat" w:hAnsi="Montserrat"/>
          <w:sz w:val="22"/>
          <w:szCs w:val="22"/>
        </w:rPr>
      </w:pPr>
      <w:r w:rsidRPr="00E31512">
        <w:rPr>
          <w:rFonts w:ascii="Montserrat" w:hAnsi="Montserrat"/>
          <w:sz w:val="22"/>
          <w:szCs w:val="22"/>
        </w:rPr>
        <w:t xml:space="preserve">6.5.5 – For an application that is estimated to last </w:t>
      </w:r>
      <w:r w:rsidRPr="00E31512">
        <w:rPr>
          <w:rFonts w:ascii="Montserrat" w:hAnsi="Montserrat"/>
          <w:b/>
          <w:bCs/>
          <w:sz w:val="22"/>
          <w:szCs w:val="22"/>
        </w:rPr>
        <w:t>half a day or less</w:t>
      </w:r>
      <w:r w:rsidRPr="00E31512">
        <w:rPr>
          <w:rFonts w:ascii="Montserrat" w:hAnsi="Montserrat"/>
          <w:sz w:val="22"/>
          <w:szCs w:val="22"/>
        </w:rPr>
        <w:t xml:space="preserve">, the skeleton should be provided </w:t>
      </w:r>
      <w:r w:rsidRPr="00E31512">
        <w:rPr>
          <w:rFonts w:ascii="Montserrat" w:hAnsi="Montserrat"/>
          <w:sz w:val="22"/>
          <w:szCs w:val="22"/>
          <w:u w:val="single"/>
        </w:rPr>
        <w:t xml:space="preserve">no later than 4pm </w:t>
      </w:r>
      <w:r w:rsidRPr="00E31512">
        <w:rPr>
          <w:rFonts w:ascii="Montserrat" w:hAnsi="Montserrat"/>
          <w:b/>
          <w:bCs/>
          <w:sz w:val="22"/>
          <w:szCs w:val="22"/>
          <w:u w:val="single"/>
        </w:rPr>
        <w:t>one</w:t>
      </w:r>
      <w:r w:rsidRPr="00E31512">
        <w:rPr>
          <w:rFonts w:ascii="Montserrat" w:hAnsi="Montserrat"/>
          <w:sz w:val="22"/>
          <w:szCs w:val="22"/>
          <w:u w:val="single"/>
        </w:rPr>
        <w:t xml:space="preserve"> clear working day before the hearing</w:t>
      </w:r>
      <w:r w:rsidRPr="00E31512">
        <w:rPr>
          <w:rFonts w:ascii="Montserrat" w:hAnsi="Montserrat"/>
          <w:sz w:val="22"/>
          <w:szCs w:val="22"/>
        </w:rPr>
        <w:t xml:space="preserve">. </w:t>
      </w:r>
    </w:p>
    <w:p w14:paraId="1BC036F8" w14:textId="38097ECB" w:rsidR="00A25185" w:rsidRPr="00E31512" w:rsidRDefault="00A25185" w:rsidP="00580AE7">
      <w:pPr>
        <w:spacing w:line="276" w:lineRule="auto"/>
        <w:jc w:val="both"/>
        <w:rPr>
          <w:rFonts w:ascii="Montserrat" w:hAnsi="Montserrat"/>
          <w:sz w:val="22"/>
          <w:szCs w:val="22"/>
        </w:rPr>
      </w:pPr>
    </w:p>
    <w:p w14:paraId="5F51FC26" w14:textId="066DC942" w:rsidR="00A25185" w:rsidRPr="00E31512" w:rsidRDefault="007B67A0" w:rsidP="00580AE7">
      <w:pPr>
        <w:spacing w:line="276" w:lineRule="auto"/>
        <w:jc w:val="both"/>
        <w:rPr>
          <w:rFonts w:ascii="Montserrat" w:hAnsi="Montserrat"/>
          <w:sz w:val="22"/>
          <w:szCs w:val="22"/>
        </w:rPr>
      </w:pPr>
      <w:r w:rsidRPr="00E31512">
        <w:rPr>
          <w:rFonts w:ascii="Montserrat" w:hAnsi="Montserrat"/>
          <w:sz w:val="22"/>
          <w:szCs w:val="22"/>
        </w:rPr>
        <w:t xml:space="preserve">6.5.6 – For an application that is estimated to last </w:t>
      </w:r>
      <w:r w:rsidRPr="00E31512">
        <w:rPr>
          <w:rFonts w:ascii="Montserrat" w:hAnsi="Montserrat"/>
          <w:b/>
          <w:bCs/>
          <w:sz w:val="22"/>
          <w:szCs w:val="22"/>
        </w:rPr>
        <w:t>more than half a day</w:t>
      </w:r>
      <w:r w:rsidRPr="00E31512">
        <w:rPr>
          <w:rFonts w:ascii="Montserrat" w:hAnsi="Montserrat"/>
          <w:sz w:val="22"/>
          <w:szCs w:val="22"/>
        </w:rPr>
        <w:t xml:space="preserve">, the skeleton should be provided </w:t>
      </w:r>
      <w:r w:rsidRPr="00E31512">
        <w:rPr>
          <w:rFonts w:ascii="Montserrat" w:hAnsi="Montserrat"/>
          <w:sz w:val="22"/>
          <w:szCs w:val="22"/>
          <w:u w:val="single"/>
        </w:rPr>
        <w:t xml:space="preserve">no later than 4 pm </w:t>
      </w:r>
      <w:r w:rsidRPr="00E31512">
        <w:rPr>
          <w:rFonts w:ascii="Montserrat" w:hAnsi="Montserrat"/>
          <w:b/>
          <w:bCs/>
          <w:sz w:val="22"/>
          <w:szCs w:val="22"/>
          <w:u w:val="single"/>
        </w:rPr>
        <w:t>two</w:t>
      </w:r>
      <w:r w:rsidRPr="00E31512">
        <w:rPr>
          <w:rFonts w:ascii="Montserrat" w:hAnsi="Montserrat"/>
          <w:sz w:val="22"/>
          <w:szCs w:val="22"/>
          <w:u w:val="single"/>
        </w:rPr>
        <w:t xml:space="preserve"> clear working days before the hearing</w:t>
      </w:r>
      <w:r w:rsidRPr="00E31512">
        <w:rPr>
          <w:rFonts w:ascii="Montserrat" w:hAnsi="Montserrat"/>
          <w:sz w:val="22"/>
          <w:szCs w:val="22"/>
        </w:rPr>
        <w:t>.</w:t>
      </w:r>
    </w:p>
    <w:p w14:paraId="3CCEA8AB" w14:textId="5F296ABB" w:rsidR="00EF1913" w:rsidRPr="00E31512" w:rsidRDefault="00EF1913" w:rsidP="00580AE7">
      <w:pPr>
        <w:spacing w:line="276" w:lineRule="auto"/>
        <w:jc w:val="both"/>
        <w:rPr>
          <w:rFonts w:ascii="Montserrat" w:hAnsi="Montserrat"/>
          <w:sz w:val="22"/>
          <w:szCs w:val="22"/>
        </w:rPr>
      </w:pPr>
    </w:p>
    <w:p w14:paraId="5051AE1D" w14:textId="51B842C1" w:rsidR="005A2107" w:rsidRPr="00E31512" w:rsidRDefault="00EF1913" w:rsidP="00580AE7">
      <w:pPr>
        <w:spacing w:line="276" w:lineRule="auto"/>
        <w:jc w:val="both"/>
        <w:rPr>
          <w:rFonts w:ascii="Montserrat" w:hAnsi="Montserrat"/>
          <w:sz w:val="22"/>
          <w:szCs w:val="22"/>
        </w:rPr>
      </w:pPr>
      <w:r w:rsidRPr="00E31512">
        <w:rPr>
          <w:rFonts w:ascii="Montserrat" w:hAnsi="Montserrat"/>
          <w:sz w:val="22"/>
          <w:szCs w:val="22"/>
        </w:rPr>
        <w:t>6.5.7 – If the application bundle or skeleton argument is not provided by the time specified, the application may be stood out of the list without further warning and there may be cost consequences.</w:t>
      </w:r>
    </w:p>
    <w:p w14:paraId="6EA2AF31" w14:textId="7227EBE6" w:rsidR="00B8226E" w:rsidRPr="00E31512" w:rsidRDefault="00B8226E" w:rsidP="00580AE7">
      <w:pPr>
        <w:spacing w:line="276" w:lineRule="auto"/>
        <w:jc w:val="both"/>
        <w:rPr>
          <w:rFonts w:ascii="Montserrat" w:hAnsi="Montserrat"/>
          <w:sz w:val="22"/>
          <w:szCs w:val="22"/>
        </w:rPr>
      </w:pPr>
    </w:p>
    <w:p w14:paraId="0091D590" w14:textId="0D25F262" w:rsidR="00B8226E" w:rsidRPr="00E31512" w:rsidRDefault="009819C3" w:rsidP="00580AE7">
      <w:pPr>
        <w:spacing w:line="276" w:lineRule="auto"/>
        <w:jc w:val="both"/>
        <w:rPr>
          <w:rFonts w:ascii="Montserrat" w:hAnsi="Montserrat"/>
          <w:sz w:val="22"/>
          <w:szCs w:val="22"/>
        </w:rPr>
      </w:pPr>
      <w:r w:rsidRPr="00E31512">
        <w:rPr>
          <w:rFonts w:ascii="Montserrat" w:hAnsi="Montserrat"/>
          <w:sz w:val="22"/>
          <w:szCs w:val="22"/>
        </w:rPr>
        <w:t>6.10.2 – If the application is urgent, the TCC Listing Office should be given a clear explanation in writing, certified by the legal representatives of the applicant if they are represented, of the degree of and reasons for the urgency.</w:t>
      </w:r>
    </w:p>
    <w:p w14:paraId="03D06030" w14:textId="6C06C8F5" w:rsidR="009819C3" w:rsidRPr="00E31512" w:rsidRDefault="009819C3" w:rsidP="00580AE7">
      <w:pPr>
        <w:spacing w:line="276" w:lineRule="auto"/>
        <w:jc w:val="both"/>
        <w:rPr>
          <w:rFonts w:ascii="Montserrat" w:hAnsi="Montserrat"/>
          <w:sz w:val="22"/>
          <w:szCs w:val="22"/>
        </w:rPr>
      </w:pPr>
    </w:p>
    <w:p w14:paraId="5B584FB2" w14:textId="47FF727D" w:rsidR="009819C3" w:rsidRPr="00E31512" w:rsidRDefault="00900364" w:rsidP="00580AE7">
      <w:pPr>
        <w:spacing w:line="276" w:lineRule="auto"/>
        <w:jc w:val="both"/>
        <w:rPr>
          <w:rFonts w:ascii="Montserrat" w:hAnsi="Montserrat"/>
          <w:sz w:val="22"/>
          <w:szCs w:val="22"/>
        </w:rPr>
      </w:pPr>
      <w:r w:rsidRPr="00E31512">
        <w:rPr>
          <w:rFonts w:ascii="Montserrat" w:hAnsi="Montserrat"/>
          <w:sz w:val="22"/>
          <w:szCs w:val="22"/>
        </w:rPr>
        <w:t xml:space="preserve">6.11 – </w:t>
      </w:r>
      <w:r w:rsidR="002C5C8A" w:rsidRPr="00E31512">
        <w:rPr>
          <w:rFonts w:ascii="Montserrat" w:hAnsi="Montserrat"/>
          <w:sz w:val="22"/>
          <w:szCs w:val="22"/>
        </w:rPr>
        <w:t>A</w:t>
      </w:r>
      <w:r w:rsidRPr="00E31512">
        <w:rPr>
          <w:rFonts w:ascii="Montserrat" w:hAnsi="Montserrat"/>
          <w:sz w:val="22"/>
          <w:szCs w:val="22"/>
        </w:rPr>
        <w:t xml:space="preserve"> new section on Interim Injunctions.</w:t>
      </w:r>
    </w:p>
    <w:p w14:paraId="7DE7FDC6" w14:textId="1E2E92E6" w:rsidR="004B221E" w:rsidRPr="00E31512" w:rsidRDefault="004B221E" w:rsidP="00580AE7">
      <w:pPr>
        <w:spacing w:line="276" w:lineRule="auto"/>
        <w:jc w:val="both"/>
        <w:rPr>
          <w:rFonts w:ascii="Montserrat" w:hAnsi="Montserrat"/>
          <w:sz w:val="22"/>
          <w:szCs w:val="22"/>
        </w:rPr>
      </w:pPr>
    </w:p>
    <w:p w14:paraId="7BC63F24" w14:textId="163233FE" w:rsidR="00F80B4A" w:rsidRPr="00E31512" w:rsidRDefault="00F80B4A" w:rsidP="00580AE7">
      <w:pPr>
        <w:spacing w:line="276" w:lineRule="auto"/>
        <w:jc w:val="both"/>
        <w:rPr>
          <w:rFonts w:ascii="Montserrat" w:hAnsi="Montserrat"/>
          <w:b/>
          <w:bCs/>
          <w:sz w:val="22"/>
          <w:szCs w:val="22"/>
        </w:rPr>
      </w:pPr>
      <w:r w:rsidRPr="00E31512">
        <w:rPr>
          <w:rFonts w:ascii="Montserrat" w:hAnsi="Montserrat"/>
          <w:b/>
          <w:bCs/>
          <w:sz w:val="22"/>
          <w:szCs w:val="22"/>
        </w:rPr>
        <w:t>Enforcement Hearing</w:t>
      </w:r>
      <w:r w:rsidR="005E4C91" w:rsidRPr="00E31512">
        <w:rPr>
          <w:rFonts w:ascii="Montserrat" w:hAnsi="Montserrat"/>
          <w:b/>
          <w:bCs/>
          <w:sz w:val="22"/>
          <w:szCs w:val="22"/>
        </w:rPr>
        <w:t>s</w:t>
      </w:r>
    </w:p>
    <w:p w14:paraId="39B4EF78" w14:textId="77777777" w:rsidR="00F80B4A" w:rsidRPr="00E31512" w:rsidRDefault="00F80B4A" w:rsidP="00580AE7">
      <w:pPr>
        <w:spacing w:line="276" w:lineRule="auto"/>
        <w:jc w:val="both"/>
        <w:rPr>
          <w:rFonts w:ascii="Montserrat" w:hAnsi="Montserrat"/>
          <w:sz w:val="22"/>
          <w:szCs w:val="22"/>
        </w:rPr>
      </w:pPr>
    </w:p>
    <w:p w14:paraId="307F6854" w14:textId="08F070B8" w:rsidR="004B221E" w:rsidRPr="00E31512" w:rsidRDefault="004B221E" w:rsidP="00580AE7">
      <w:pPr>
        <w:spacing w:line="276" w:lineRule="auto"/>
        <w:jc w:val="both"/>
        <w:rPr>
          <w:rFonts w:ascii="Montserrat" w:hAnsi="Montserrat"/>
          <w:sz w:val="22"/>
          <w:szCs w:val="22"/>
          <w:u w:val="single"/>
        </w:rPr>
      </w:pPr>
      <w:r w:rsidRPr="00E31512">
        <w:rPr>
          <w:rFonts w:ascii="Montserrat" w:hAnsi="Montserrat"/>
          <w:sz w:val="22"/>
          <w:szCs w:val="22"/>
        </w:rPr>
        <w:t xml:space="preserve">9.2.8 – The directions will ordinarily provide for an enforcement hearing </w:t>
      </w:r>
      <w:r w:rsidRPr="00E31512">
        <w:rPr>
          <w:rFonts w:ascii="Montserrat" w:hAnsi="Montserrat"/>
          <w:sz w:val="22"/>
          <w:szCs w:val="22"/>
          <w:u w:val="single"/>
        </w:rPr>
        <w:t>within about 6 to 8 weeks.</w:t>
      </w:r>
    </w:p>
    <w:p w14:paraId="0B20EA42" w14:textId="08C7AE49" w:rsidR="00277666" w:rsidRPr="00E31512" w:rsidRDefault="00277666" w:rsidP="00580AE7">
      <w:pPr>
        <w:spacing w:line="276" w:lineRule="auto"/>
        <w:jc w:val="both"/>
        <w:rPr>
          <w:rFonts w:ascii="Montserrat" w:hAnsi="Montserrat"/>
          <w:sz w:val="22"/>
          <w:szCs w:val="22"/>
          <w:u w:val="single"/>
        </w:rPr>
      </w:pPr>
    </w:p>
    <w:p w14:paraId="6F75E4DB" w14:textId="4E0D7A9E" w:rsidR="00277666" w:rsidRPr="00E31512" w:rsidRDefault="00277666" w:rsidP="00580AE7">
      <w:pPr>
        <w:spacing w:line="276" w:lineRule="auto"/>
        <w:jc w:val="both"/>
        <w:rPr>
          <w:rFonts w:ascii="Montserrat" w:hAnsi="Montserrat"/>
          <w:sz w:val="22"/>
          <w:szCs w:val="22"/>
        </w:rPr>
      </w:pPr>
      <w:r w:rsidRPr="00E31512">
        <w:rPr>
          <w:rFonts w:ascii="Montserrat" w:hAnsi="Montserrat"/>
          <w:sz w:val="22"/>
          <w:szCs w:val="22"/>
        </w:rPr>
        <w:t xml:space="preserve">9.2.10 – Where no time estimate is given, the judge will commonly give a </w:t>
      </w:r>
      <w:r w:rsidRPr="00E31512">
        <w:rPr>
          <w:rFonts w:ascii="Montserrat" w:hAnsi="Montserrat"/>
          <w:sz w:val="22"/>
          <w:szCs w:val="22"/>
          <w:u w:val="single"/>
        </w:rPr>
        <w:t>2 hour estimate for the hearing</w:t>
      </w:r>
      <w:r w:rsidRPr="00E31512">
        <w:rPr>
          <w:rFonts w:ascii="Montserrat" w:hAnsi="Montserrat"/>
          <w:sz w:val="22"/>
          <w:szCs w:val="22"/>
        </w:rPr>
        <w:t xml:space="preserve">. </w:t>
      </w:r>
    </w:p>
    <w:p w14:paraId="7625EF1D" w14:textId="28532512" w:rsidR="00277666" w:rsidRPr="00E31512" w:rsidRDefault="00277666" w:rsidP="00580AE7">
      <w:pPr>
        <w:spacing w:line="276" w:lineRule="auto"/>
        <w:jc w:val="both"/>
        <w:rPr>
          <w:rFonts w:ascii="Montserrat" w:hAnsi="Montserrat"/>
          <w:sz w:val="22"/>
          <w:szCs w:val="22"/>
        </w:rPr>
      </w:pPr>
    </w:p>
    <w:p w14:paraId="18C1EEFF" w14:textId="2356847F" w:rsidR="00277666" w:rsidRPr="00E31512" w:rsidRDefault="00277666" w:rsidP="00580AE7">
      <w:pPr>
        <w:spacing w:line="276" w:lineRule="auto"/>
        <w:jc w:val="both"/>
        <w:rPr>
          <w:rFonts w:ascii="Montserrat" w:hAnsi="Montserrat"/>
          <w:sz w:val="22"/>
          <w:szCs w:val="22"/>
        </w:rPr>
      </w:pPr>
      <w:r w:rsidRPr="00E31512">
        <w:rPr>
          <w:rFonts w:ascii="Montserrat" w:hAnsi="Montserrat"/>
          <w:sz w:val="22"/>
          <w:szCs w:val="22"/>
        </w:rPr>
        <w:t>9.3.2</w:t>
      </w:r>
      <w:r w:rsidR="00F80B4A" w:rsidRPr="00E31512">
        <w:rPr>
          <w:rFonts w:ascii="Montserrat" w:hAnsi="Montserrat"/>
          <w:sz w:val="22"/>
          <w:szCs w:val="22"/>
        </w:rPr>
        <w:t xml:space="preserve"> – </w:t>
      </w:r>
      <w:r w:rsidR="002C5C8A" w:rsidRPr="00E31512">
        <w:rPr>
          <w:rFonts w:ascii="Montserrat" w:hAnsi="Montserrat"/>
          <w:sz w:val="22"/>
          <w:szCs w:val="22"/>
        </w:rPr>
        <w:t>T</w:t>
      </w:r>
      <w:r w:rsidRPr="00E31512">
        <w:rPr>
          <w:rFonts w:ascii="Montserrat" w:hAnsi="Montserrat"/>
          <w:sz w:val="22"/>
          <w:szCs w:val="22"/>
        </w:rPr>
        <w:t xml:space="preserve">he parties should lodge a bundle containing the documents that will be required </w:t>
      </w:r>
      <w:r w:rsidRPr="00E31512">
        <w:rPr>
          <w:rFonts w:ascii="Montserrat" w:hAnsi="Montserrat"/>
          <w:sz w:val="22"/>
          <w:szCs w:val="22"/>
          <w:u w:val="single"/>
        </w:rPr>
        <w:t xml:space="preserve">by 4.00 pm </w:t>
      </w:r>
      <w:r w:rsidRPr="00E31512">
        <w:rPr>
          <w:rFonts w:ascii="Montserrat" w:hAnsi="Montserrat"/>
          <w:b/>
          <w:bCs/>
          <w:sz w:val="22"/>
          <w:szCs w:val="22"/>
          <w:u w:val="single"/>
        </w:rPr>
        <w:t>two</w:t>
      </w:r>
      <w:r w:rsidRPr="00E31512">
        <w:rPr>
          <w:rFonts w:ascii="Montserrat" w:hAnsi="Montserrat"/>
          <w:sz w:val="22"/>
          <w:szCs w:val="22"/>
          <w:u w:val="single"/>
        </w:rPr>
        <w:t xml:space="preserve"> clear working days before </w:t>
      </w:r>
      <w:r w:rsidR="00F80B4A" w:rsidRPr="00E31512">
        <w:rPr>
          <w:rFonts w:ascii="Montserrat" w:hAnsi="Montserrat"/>
          <w:sz w:val="22"/>
          <w:szCs w:val="22"/>
          <w:u w:val="single"/>
        </w:rPr>
        <w:t xml:space="preserve">the </w:t>
      </w:r>
      <w:r w:rsidRPr="00E31512">
        <w:rPr>
          <w:rFonts w:ascii="Montserrat" w:hAnsi="Montserrat"/>
          <w:sz w:val="22"/>
          <w:szCs w:val="22"/>
          <w:u w:val="single"/>
        </w:rPr>
        <w:t>hearing</w:t>
      </w:r>
      <w:r w:rsidRPr="00E31512">
        <w:rPr>
          <w:rFonts w:ascii="Montserrat" w:hAnsi="Montserrat"/>
          <w:sz w:val="22"/>
          <w:szCs w:val="22"/>
        </w:rPr>
        <w:t>.</w:t>
      </w:r>
    </w:p>
    <w:p w14:paraId="010151E3" w14:textId="2AAF28FD" w:rsidR="00F80B4A" w:rsidRPr="00E31512" w:rsidRDefault="00F80B4A" w:rsidP="00580AE7">
      <w:pPr>
        <w:spacing w:line="276" w:lineRule="auto"/>
        <w:jc w:val="both"/>
        <w:rPr>
          <w:rFonts w:ascii="Montserrat" w:hAnsi="Montserrat"/>
          <w:sz w:val="22"/>
          <w:szCs w:val="22"/>
        </w:rPr>
      </w:pPr>
    </w:p>
    <w:p w14:paraId="2F47DCB2" w14:textId="1FB8FA2C" w:rsidR="00F80B4A" w:rsidRPr="00E31512" w:rsidRDefault="00F80B4A" w:rsidP="00580AE7">
      <w:pPr>
        <w:spacing w:line="276" w:lineRule="auto"/>
        <w:jc w:val="both"/>
        <w:rPr>
          <w:rFonts w:ascii="Montserrat" w:hAnsi="Montserrat"/>
          <w:sz w:val="22"/>
          <w:szCs w:val="22"/>
        </w:rPr>
      </w:pPr>
      <w:r w:rsidRPr="00E31512">
        <w:rPr>
          <w:rFonts w:ascii="Montserrat" w:hAnsi="Montserrat"/>
          <w:sz w:val="22"/>
          <w:szCs w:val="22"/>
        </w:rPr>
        <w:t>9.3.4 –</w:t>
      </w:r>
      <w:r w:rsidR="000466B4">
        <w:rPr>
          <w:rFonts w:ascii="Montserrat" w:hAnsi="Montserrat"/>
          <w:sz w:val="22"/>
          <w:szCs w:val="22"/>
        </w:rPr>
        <w:t xml:space="preserve"> </w:t>
      </w:r>
      <w:r w:rsidR="002C5C8A" w:rsidRPr="00E31512">
        <w:rPr>
          <w:rFonts w:ascii="Montserrat" w:hAnsi="Montserrat"/>
          <w:sz w:val="22"/>
          <w:szCs w:val="22"/>
        </w:rPr>
        <w:t>F</w:t>
      </w:r>
      <w:r w:rsidRPr="00E31512">
        <w:rPr>
          <w:rFonts w:ascii="Montserrat" w:hAnsi="Montserrat"/>
          <w:sz w:val="22"/>
          <w:szCs w:val="22"/>
        </w:rPr>
        <w:t xml:space="preserve">or a hearing that is expected to last </w:t>
      </w:r>
      <w:r w:rsidRPr="00E31512">
        <w:rPr>
          <w:rFonts w:ascii="Montserrat" w:hAnsi="Montserrat"/>
          <w:b/>
          <w:bCs/>
          <w:sz w:val="22"/>
          <w:szCs w:val="22"/>
        </w:rPr>
        <w:t>half a day or less</w:t>
      </w:r>
      <w:r w:rsidRPr="00E31512">
        <w:rPr>
          <w:rFonts w:ascii="Montserrat" w:hAnsi="Montserrat"/>
          <w:sz w:val="22"/>
          <w:szCs w:val="22"/>
        </w:rPr>
        <w:t xml:space="preserve">, the skeletons should be provided </w:t>
      </w:r>
      <w:r w:rsidRPr="00E31512">
        <w:rPr>
          <w:rFonts w:ascii="Montserrat" w:hAnsi="Montserrat"/>
          <w:sz w:val="22"/>
          <w:szCs w:val="22"/>
          <w:u w:val="single"/>
        </w:rPr>
        <w:t xml:space="preserve">by 4.00 pm </w:t>
      </w:r>
      <w:r w:rsidRPr="00E31512">
        <w:rPr>
          <w:rFonts w:ascii="Montserrat" w:hAnsi="Montserrat"/>
          <w:b/>
          <w:bCs/>
          <w:sz w:val="22"/>
          <w:szCs w:val="22"/>
          <w:u w:val="single"/>
        </w:rPr>
        <w:t>one</w:t>
      </w:r>
      <w:r w:rsidRPr="00E31512">
        <w:rPr>
          <w:rFonts w:ascii="Montserrat" w:hAnsi="Montserrat"/>
          <w:sz w:val="22"/>
          <w:szCs w:val="22"/>
          <w:u w:val="single"/>
        </w:rPr>
        <w:t xml:space="preserve"> clear working day before the hearing</w:t>
      </w:r>
      <w:r w:rsidRPr="00E31512">
        <w:rPr>
          <w:rFonts w:ascii="Montserrat" w:hAnsi="Montserrat"/>
          <w:sz w:val="22"/>
          <w:szCs w:val="22"/>
        </w:rPr>
        <w:t>.</w:t>
      </w:r>
    </w:p>
    <w:p w14:paraId="1CC43C3E" w14:textId="37D8FD1C" w:rsidR="00F80B4A" w:rsidRPr="00E31512" w:rsidRDefault="00F80B4A" w:rsidP="00580AE7">
      <w:pPr>
        <w:spacing w:line="276" w:lineRule="auto"/>
        <w:jc w:val="both"/>
        <w:rPr>
          <w:rFonts w:ascii="Montserrat" w:hAnsi="Montserrat"/>
          <w:sz w:val="22"/>
          <w:szCs w:val="22"/>
        </w:rPr>
      </w:pPr>
    </w:p>
    <w:p w14:paraId="47DDB4E0" w14:textId="4192FD1D" w:rsidR="00F80B4A" w:rsidRPr="00E31512" w:rsidRDefault="00F80B4A" w:rsidP="00580AE7">
      <w:pPr>
        <w:spacing w:line="276" w:lineRule="auto"/>
        <w:jc w:val="both"/>
        <w:rPr>
          <w:rFonts w:ascii="Montserrat" w:hAnsi="Montserrat"/>
          <w:sz w:val="22"/>
          <w:szCs w:val="22"/>
        </w:rPr>
      </w:pPr>
      <w:r w:rsidRPr="00E31512">
        <w:rPr>
          <w:rFonts w:ascii="Montserrat" w:hAnsi="Montserrat"/>
          <w:sz w:val="22"/>
          <w:szCs w:val="22"/>
        </w:rPr>
        <w:lastRenderedPageBreak/>
        <w:t xml:space="preserve">9.3.4 – </w:t>
      </w:r>
      <w:r w:rsidR="002C5C8A" w:rsidRPr="00E31512">
        <w:rPr>
          <w:rFonts w:ascii="Montserrat" w:hAnsi="Montserrat"/>
          <w:sz w:val="22"/>
          <w:szCs w:val="22"/>
        </w:rPr>
        <w:t>F</w:t>
      </w:r>
      <w:r w:rsidRPr="00E31512">
        <w:rPr>
          <w:rFonts w:ascii="Montserrat" w:hAnsi="Montserrat"/>
          <w:sz w:val="22"/>
          <w:szCs w:val="22"/>
        </w:rPr>
        <w:t xml:space="preserve">or a hearing that is expected to last </w:t>
      </w:r>
      <w:r w:rsidRPr="00E31512">
        <w:rPr>
          <w:rFonts w:ascii="Montserrat" w:hAnsi="Montserrat"/>
          <w:b/>
          <w:bCs/>
          <w:sz w:val="22"/>
          <w:szCs w:val="22"/>
        </w:rPr>
        <w:t>more than half a day</w:t>
      </w:r>
      <w:r w:rsidRPr="00E31512">
        <w:rPr>
          <w:rFonts w:ascii="Montserrat" w:hAnsi="Montserrat"/>
          <w:sz w:val="22"/>
          <w:szCs w:val="22"/>
        </w:rPr>
        <w:t xml:space="preserve">, the skeletons should be provided </w:t>
      </w:r>
      <w:r w:rsidRPr="00E31512">
        <w:rPr>
          <w:rFonts w:ascii="Montserrat" w:hAnsi="Montserrat"/>
          <w:sz w:val="22"/>
          <w:szCs w:val="22"/>
          <w:u w:val="single"/>
        </w:rPr>
        <w:t xml:space="preserve">by 4.00 pm </w:t>
      </w:r>
      <w:r w:rsidRPr="00E31512">
        <w:rPr>
          <w:rFonts w:ascii="Montserrat" w:hAnsi="Montserrat"/>
          <w:b/>
          <w:bCs/>
          <w:sz w:val="22"/>
          <w:szCs w:val="22"/>
          <w:u w:val="single"/>
        </w:rPr>
        <w:t>two</w:t>
      </w:r>
      <w:r w:rsidRPr="00E31512">
        <w:rPr>
          <w:rFonts w:ascii="Montserrat" w:hAnsi="Montserrat"/>
          <w:sz w:val="22"/>
          <w:szCs w:val="22"/>
          <w:u w:val="single"/>
        </w:rPr>
        <w:t xml:space="preserve"> clear working days before the hearing</w:t>
      </w:r>
      <w:r w:rsidRPr="00E31512">
        <w:rPr>
          <w:rFonts w:ascii="Montserrat" w:hAnsi="Montserrat"/>
          <w:sz w:val="22"/>
          <w:szCs w:val="22"/>
        </w:rPr>
        <w:t>.</w:t>
      </w:r>
    </w:p>
    <w:p w14:paraId="129CF6E5" w14:textId="2AB86E6F" w:rsidR="005E4C91" w:rsidRPr="00E31512" w:rsidRDefault="005E4C91" w:rsidP="00580AE7">
      <w:pPr>
        <w:spacing w:line="276" w:lineRule="auto"/>
        <w:jc w:val="both"/>
        <w:rPr>
          <w:rFonts w:ascii="Montserrat" w:hAnsi="Montserrat"/>
          <w:sz w:val="22"/>
          <w:szCs w:val="22"/>
        </w:rPr>
      </w:pPr>
    </w:p>
    <w:p w14:paraId="0071577E" w14:textId="7582A5F8" w:rsidR="005E4C91" w:rsidRPr="00E31512" w:rsidRDefault="005E4C91" w:rsidP="00580AE7">
      <w:pPr>
        <w:spacing w:line="276" w:lineRule="auto"/>
        <w:jc w:val="both"/>
        <w:rPr>
          <w:rFonts w:ascii="Montserrat" w:hAnsi="Montserrat"/>
          <w:sz w:val="22"/>
          <w:szCs w:val="22"/>
        </w:rPr>
      </w:pPr>
      <w:r w:rsidRPr="00E31512">
        <w:rPr>
          <w:rFonts w:ascii="Montserrat" w:hAnsi="Montserrat"/>
          <w:sz w:val="22"/>
          <w:szCs w:val="22"/>
        </w:rPr>
        <w:t xml:space="preserve">9.3.5 – </w:t>
      </w:r>
      <w:r w:rsidR="002C5C8A" w:rsidRPr="00E31512">
        <w:rPr>
          <w:rFonts w:ascii="Montserrat" w:hAnsi="Montserrat"/>
          <w:sz w:val="22"/>
          <w:szCs w:val="22"/>
        </w:rPr>
        <w:t>L</w:t>
      </w:r>
      <w:r w:rsidRPr="00E31512">
        <w:rPr>
          <w:rFonts w:ascii="Montserrat" w:hAnsi="Montserrat"/>
          <w:sz w:val="22"/>
          <w:szCs w:val="22"/>
        </w:rPr>
        <w:t xml:space="preserve">abelling, for example, a part 8 claim for declaratory relief “an adjudication application” in order to obtain an expediated </w:t>
      </w:r>
      <w:r w:rsidR="00E37150" w:rsidRPr="00E31512">
        <w:rPr>
          <w:rFonts w:ascii="Montserrat" w:hAnsi="Montserrat"/>
          <w:sz w:val="22"/>
          <w:szCs w:val="22"/>
        </w:rPr>
        <w:t xml:space="preserve">hearing </w:t>
      </w:r>
      <w:r w:rsidRPr="00E31512">
        <w:rPr>
          <w:rFonts w:ascii="Montserrat" w:hAnsi="Montserrat"/>
          <w:sz w:val="22"/>
          <w:szCs w:val="22"/>
        </w:rPr>
        <w:t xml:space="preserve">may result in the judge refusing to hear the </w:t>
      </w:r>
      <w:r w:rsidR="00E37150" w:rsidRPr="00E31512">
        <w:rPr>
          <w:rFonts w:ascii="Montserrat" w:hAnsi="Montserrat"/>
          <w:sz w:val="22"/>
          <w:szCs w:val="22"/>
        </w:rPr>
        <w:t>claim or application.</w:t>
      </w:r>
    </w:p>
    <w:p w14:paraId="1A72F996" w14:textId="4DEC6352" w:rsidR="00F80B4A" w:rsidRPr="00E31512" w:rsidRDefault="00F80B4A" w:rsidP="00580AE7">
      <w:pPr>
        <w:spacing w:line="276" w:lineRule="auto"/>
        <w:jc w:val="both"/>
        <w:rPr>
          <w:rFonts w:ascii="Montserrat" w:hAnsi="Montserrat"/>
          <w:sz w:val="22"/>
          <w:szCs w:val="22"/>
        </w:rPr>
      </w:pPr>
    </w:p>
    <w:p w14:paraId="00AB0FFE" w14:textId="0E048146" w:rsidR="00E37150" w:rsidRPr="00E31512" w:rsidRDefault="00E37150" w:rsidP="00580AE7">
      <w:pPr>
        <w:spacing w:line="276" w:lineRule="auto"/>
        <w:jc w:val="both"/>
        <w:rPr>
          <w:rFonts w:ascii="Montserrat" w:hAnsi="Montserrat"/>
          <w:sz w:val="22"/>
          <w:szCs w:val="22"/>
        </w:rPr>
      </w:pPr>
      <w:r w:rsidRPr="00E31512">
        <w:rPr>
          <w:rFonts w:ascii="Montserrat" w:hAnsi="Montserrat"/>
          <w:sz w:val="22"/>
          <w:szCs w:val="22"/>
        </w:rPr>
        <w:t xml:space="preserve">9.4.5 – </w:t>
      </w:r>
      <w:r w:rsidR="002C5C8A" w:rsidRPr="00E31512">
        <w:rPr>
          <w:rFonts w:ascii="Montserrat" w:hAnsi="Montserrat"/>
          <w:sz w:val="22"/>
          <w:szCs w:val="22"/>
        </w:rPr>
        <w:t>N</w:t>
      </w:r>
      <w:r w:rsidRPr="00E31512">
        <w:rPr>
          <w:rFonts w:ascii="Montserrat" w:hAnsi="Montserrat"/>
          <w:sz w:val="22"/>
          <w:szCs w:val="22"/>
        </w:rPr>
        <w:t>ew limitations where an adjudicator has made a clear error (but has acted within his jurisdiction), and proceedings are brought under Part 8 for a declaration as a pre-emptive response to an anticipated application to enforce the decision.</w:t>
      </w:r>
    </w:p>
    <w:p w14:paraId="33DE98FF" w14:textId="7DA042A1" w:rsidR="00543E26" w:rsidRPr="00E31512" w:rsidRDefault="00543E26" w:rsidP="00580AE7">
      <w:pPr>
        <w:spacing w:line="276" w:lineRule="auto"/>
        <w:jc w:val="both"/>
        <w:rPr>
          <w:rFonts w:ascii="Montserrat" w:hAnsi="Montserrat"/>
          <w:sz w:val="22"/>
          <w:szCs w:val="22"/>
        </w:rPr>
      </w:pPr>
    </w:p>
    <w:p w14:paraId="08290C15" w14:textId="40BD20DC" w:rsidR="00543E26" w:rsidRPr="00E31512" w:rsidRDefault="00543E26" w:rsidP="00580AE7">
      <w:pPr>
        <w:spacing w:line="276" w:lineRule="auto"/>
        <w:jc w:val="both"/>
        <w:rPr>
          <w:rFonts w:ascii="Montserrat" w:hAnsi="Montserrat"/>
          <w:b/>
          <w:bCs/>
          <w:sz w:val="22"/>
          <w:szCs w:val="22"/>
        </w:rPr>
      </w:pPr>
      <w:r w:rsidRPr="00E31512">
        <w:rPr>
          <w:rFonts w:ascii="Montserrat" w:hAnsi="Montserrat"/>
          <w:b/>
          <w:bCs/>
          <w:sz w:val="22"/>
          <w:szCs w:val="22"/>
        </w:rPr>
        <w:t>Pre-Trial Review</w:t>
      </w:r>
    </w:p>
    <w:p w14:paraId="32A27C67" w14:textId="1E8B4526" w:rsidR="00543E26" w:rsidRPr="00E31512" w:rsidRDefault="00543E26" w:rsidP="00580AE7">
      <w:pPr>
        <w:spacing w:line="276" w:lineRule="auto"/>
        <w:jc w:val="both"/>
        <w:rPr>
          <w:rFonts w:ascii="Montserrat" w:hAnsi="Montserrat"/>
          <w:b/>
          <w:bCs/>
          <w:sz w:val="22"/>
          <w:szCs w:val="22"/>
        </w:rPr>
      </w:pPr>
    </w:p>
    <w:p w14:paraId="5FE89274" w14:textId="27A2C6B4" w:rsidR="00543E26" w:rsidRPr="00E31512" w:rsidRDefault="00543E26" w:rsidP="00580AE7">
      <w:pPr>
        <w:spacing w:line="276" w:lineRule="auto"/>
        <w:jc w:val="both"/>
        <w:rPr>
          <w:rFonts w:ascii="Montserrat" w:hAnsi="Montserrat"/>
          <w:sz w:val="22"/>
          <w:szCs w:val="22"/>
        </w:rPr>
      </w:pPr>
      <w:r w:rsidRPr="00E31512">
        <w:rPr>
          <w:rFonts w:ascii="Montserrat" w:hAnsi="Montserrat"/>
          <w:sz w:val="22"/>
          <w:szCs w:val="22"/>
        </w:rPr>
        <w:t xml:space="preserve">14.2.2 – </w:t>
      </w:r>
      <w:r w:rsidR="002C5C8A" w:rsidRPr="00E31512">
        <w:rPr>
          <w:rFonts w:ascii="Montserrat" w:hAnsi="Montserrat"/>
          <w:sz w:val="22"/>
          <w:szCs w:val="22"/>
        </w:rPr>
        <w:t xml:space="preserve">In the </w:t>
      </w:r>
      <w:r w:rsidR="002C5C8A" w:rsidRPr="000466B4">
        <w:rPr>
          <w:rFonts w:ascii="Montserrat" w:hAnsi="Montserrat"/>
          <w:b/>
          <w:bCs/>
          <w:sz w:val="22"/>
          <w:szCs w:val="22"/>
        </w:rPr>
        <w:t>High Court</w:t>
      </w:r>
      <w:r w:rsidR="002C5C8A" w:rsidRPr="00E31512">
        <w:rPr>
          <w:rFonts w:ascii="Montserrat" w:hAnsi="Montserrat"/>
          <w:sz w:val="22"/>
          <w:szCs w:val="22"/>
        </w:rPr>
        <w:t xml:space="preserve"> </w:t>
      </w:r>
      <w:r w:rsidRPr="00E31512">
        <w:rPr>
          <w:rFonts w:ascii="Montserrat" w:hAnsi="Montserrat"/>
          <w:sz w:val="22"/>
          <w:szCs w:val="22"/>
        </w:rPr>
        <w:t xml:space="preserve">the Notes should be exchanged and provided to the court at the latest </w:t>
      </w:r>
      <w:r w:rsidRPr="00E31512">
        <w:rPr>
          <w:rFonts w:ascii="Montserrat" w:hAnsi="Montserrat"/>
          <w:sz w:val="22"/>
          <w:szCs w:val="22"/>
          <w:u w:val="single"/>
        </w:rPr>
        <w:t xml:space="preserve">by 4pm </w:t>
      </w:r>
      <w:r w:rsidRPr="00E31512">
        <w:rPr>
          <w:rFonts w:ascii="Montserrat" w:hAnsi="Montserrat"/>
          <w:b/>
          <w:bCs/>
          <w:sz w:val="22"/>
          <w:szCs w:val="22"/>
          <w:u w:val="single"/>
        </w:rPr>
        <w:t>two</w:t>
      </w:r>
      <w:r w:rsidRPr="00E31512">
        <w:rPr>
          <w:rFonts w:ascii="Montserrat" w:hAnsi="Montserrat"/>
          <w:sz w:val="22"/>
          <w:szCs w:val="22"/>
          <w:u w:val="single"/>
        </w:rPr>
        <w:t xml:space="preserve"> clear working days before the PTR</w:t>
      </w:r>
      <w:r w:rsidRPr="00E31512">
        <w:rPr>
          <w:rFonts w:ascii="Montserrat" w:hAnsi="Montserrat"/>
          <w:sz w:val="22"/>
          <w:szCs w:val="22"/>
        </w:rPr>
        <w:t>.</w:t>
      </w:r>
    </w:p>
    <w:p w14:paraId="2D68C703" w14:textId="27A77E01" w:rsidR="002C5C8A" w:rsidRPr="00E31512" w:rsidRDefault="002C5C8A" w:rsidP="00580AE7">
      <w:pPr>
        <w:spacing w:line="276" w:lineRule="auto"/>
        <w:jc w:val="both"/>
        <w:rPr>
          <w:rFonts w:ascii="Montserrat" w:hAnsi="Montserrat"/>
          <w:sz w:val="22"/>
          <w:szCs w:val="22"/>
        </w:rPr>
      </w:pPr>
    </w:p>
    <w:p w14:paraId="5F99C3E1" w14:textId="5A42B8BD" w:rsidR="002C5C8A" w:rsidRPr="00E31512" w:rsidRDefault="002C5C8A" w:rsidP="00580AE7">
      <w:pPr>
        <w:spacing w:line="276" w:lineRule="auto"/>
        <w:jc w:val="both"/>
        <w:rPr>
          <w:rFonts w:ascii="Montserrat" w:hAnsi="Montserrat"/>
          <w:sz w:val="22"/>
          <w:szCs w:val="22"/>
        </w:rPr>
      </w:pPr>
      <w:r w:rsidRPr="00E31512">
        <w:rPr>
          <w:rFonts w:ascii="Montserrat" w:hAnsi="Montserrat"/>
          <w:sz w:val="22"/>
          <w:szCs w:val="22"/>
        </w:rPr>
        <w:t xml:space="preserve">In the </w:t>
      </w:r>
      <w:r w:rsidRPr="000466B4">
        <w:rPr>
          <w:rFonts w:ascii="Montserrat" w:hAnsi="Montserrat"/>
          <w:b/>
          <w:bCs/>
          <w:sz w:val="22"/>
          <w:szCs w:val="22"/>
        </w:rPr>
        <w:t>County Court</w:t>
      </w:r>
      <w:r w:rsidRPr="00E31512">
        <w:rPr>
          <w:rFonts w:ascii="Montserrat" w:hAnsi="Montserrat"/>
          <w:sz w:val="22"/>
          <w:szCs w:val="22"/>
        </w:rPr>
        <w:t xml:space="preserve"> the Notes should be exchanged and provided to the court at the latest </w:t>
      </w:r>
      <w:r w:rsidRPr="00E31512">
        <w:rPr>
          <w:rFonts w:ascii="Montserrat" w:hAnsi="Montserrat"/>
          <w:sz w:val="22"/>
          <w:szCs w:val="22"/>
          <w:u w:val="single"/>
        </w:rPr>
        <w:t xml:space="preserve">by 4 pm </w:t>
      </w:r>
      <w:r w:rsidRPr="00E31512">
        <w:rPr>
          <w:rFonts w:ascii="Montserrat" w:hAnsi="Montserrat"/>
          <w:b/>
          <w:bCs/>
          <w:sz w:val="22"/>
          <w:szCs w:val="22"/>
          <w:u w:val="single"/>
        </w:rPr>
        <w:t>one</w:t>
      </w:r>
      <w:r w:rsidRPr="00E31512">
        <w:rPr>
          <w:rFonts w:ascii="Montserrat" w:hAnsi="Montserrat"/>
          <w:sz w:val="22"/>
          <w:szCs w:val="22"/>
          <w:u w:val="single"/>
        </w:rPr>
        <w:t xml:space="preserve"> clear working day before the PTR</w:t>
      </w:r>
      <w:r w:rsidRPr="00E31512">
        <w:rPr>
          <w:rFonts w:ascii="Montserrat" w:hAnsi="Montserrat"/>
          <w:sz w:val="22"/>
          <w:szCs w:val="22"/>
        </w:rPr>
        <w:t>.</w:t>
      </w:r>
    </w:p>
    <w:p w14:paraId="4CB60D0A" w14:textId="7F1F256D" w:rsidR="00901BA9" w:rsidRPr="00E31512" w:rsidRDefault="00901BA9" w:rsidP="00580AE7">
      <w:pPr>
        <w:spacing w:line="276" w:lineRule="auto"/>
        <w:jc w:val="both"/>
        <w:rPr>
          <w:rFonts w:ascii="Montserrat" w:hAnsi="Montserrat"/>
          <w:sz w:val="22"/>
          <w:szCs w:val="22"/>
        </w:rPr>
      </w:pPr>
    </w:p>
    <w:p w14:paraId="68EBBCE8" w14:textId="0A9A4D7F" w:rsidR="00901BA9" w:rsidRPr="00E31512" w:rsidRDefault="00901BA9" w:rsidP="00580AE7">
      <w:pPr>
        <w:spacing w:line="276" w:lineRule="auto"/>
        <w:jc w:val="both"/>
        <w:rPr>
          <w:rFonts w:ascii="Montserrat" w:hAnsi="Montserrat"/>
          <w:b/>
          <w:bCs/>
          <w:sz w:val="22"/>
          <w:szCs w:val="22"/>
        </w:rPr>
      </w:pPr>
      <w:r w:rsidRPr="00E31512">
        <w:rPr>
          <w:rFonts w:ascii="Montserrat" w:hAnsi="Montserrat"/>
          <w:b/>
          <w:bCs/>
          <w:sz w:val="22"/>
          <w:szCs w:val="22"/>
        </w:rPr>
        <w:t>Timetabling and Trial Logistics</w:t>
      </w:r>
    </w:p>
    <w:p w14:paraId="5C9BC0E6" w14:textId="5E44277F" w:rsidR="00901BA9" w:rsidRPr="00E31512" w:rsidRDefault="00901BA9" w:rsidP="00580AE7">
      <w:pPr>
        <w:spacing w:line="276" w:lineRule="auto"/>
        <w:jc w:val="both"/>
        <w:rPr>
          <w:rFonts w:ascii="Montserrat" w:hAnsi="Montserrat"/>
          <w:sz w:val="22"/>
          <w:szCs w:val="22"/>
        </w:rPr>
      </w:pPr>
    </w:p>
    <w:p w14:paraId="77AC1B36" w14:textId="776AC222" w:rsidR="00901BA9" w:rsidRPr="00E31512" w:rsidRDefault="00901BA9" w:rsidP="00580AE7">
      <w:pPr>
        <w:spacing w:line="276" w:lineRule="auto"/>
        <w:jc w:val="both"/>
        <w:rPr>
          <w:rFonts w:ascii="Montserrat" w:hAnsi="Montserrat"/>
          <w:sz w:val="22"/>
          <w:szCs w:val="22"/>
        </w:rPr>
      </w:pPr>
      <w:r w:rsidRPr="00E31512">
        <w:rPr>
          <w:rFonts w:ascii="Montserrat" w:hAnsi="Montserrat"/>
          <w:sz w:val="22"/>
          <w:szCs w:val="22"/>
        </w:rPr>
        <w:t xml:space="preserve">14.5.1 – </w:t>
      </w:r>
      <w:r w:rsidR="0011740B" w:rsidRPr="00E31512">
        <w:rPr>
          <w:rFonts w:ascii="Montserrat" w:hAnsi="Montserrat"/>
          <w:sz w:val="22"/>
          <w:szCs w:val="22"/>
        </w:rPr>
        <w:t>V</w:t>
      </w:r>
      <w:r w:rsidRPr="00E31512">
        <w:rPr>
          <w:rFonts w:ascii="Montserrat" w:hAnsi="Montserrat"/>
          <w:sz w:val="22"/>
          <w:szCs w:val="22"/>
        </w:rPr>
        <w:t>arious additions to trial logistics guidance.</w:t>
      </w:r>
    </w:p>
    <w:p w14:paraId="55A68CB5" w14:textId="7170ED6B" w:rsidR="0011740B" w:rsidRPr="00E31512" w:rsidRDefault="0011740B" w:rsidP="00580AE7">
      <w:pPr>
        <w:spacing w:line="276" w:lineRule="auto"/>
        <w:jc w:val="both"/>
        <w:rPr>
          <w:rFonts w:ascii="Montserrat" w:hAnsi="Montserrat"/>
          <w:sz w:val="22"/>
          <w:szCs w:val="22"/>
        </w:rPr>
      </w:pPr>
    </w:p>
    <w:p w14:paraId="145110C5" w14:textId="2149BD5E" w:rsidR="0011740B" w:rsidRPr="00E31512" w:rsidRDefault="0011740B" w:rsidP="00580AE7">
      <w:pPr>
        <w:spacing w:line="276" w:lineRule="auto"/>
        <w:jc w:val="both"/>
        <w:rPr>
          <w:rFonts w:ascii="Montserrat" w:hAnsi="Montserrat"/>
          <w:sz w:val="22"/>
          <w:szCs w:val="22"/>
        </w:rPr>
      </w:pPr>
      <w:r w:rsidRPr="00E31512">
        <w:rPr>
          <w:rFonts w:ascii="Montserrat" w:hAnsi="Montserrat"/>
          <w:b/>
          <w:bCs/>
          <w:sz w:val="22"/>
          <w:szCs w:val="22"/>
        </w:rPr>
        <w:t>The Trial</w:t>
      </w:r>
    </w:p>
    <w:p w14:paraId="24F285CF" w14:textId="070414B1" w:rsidR="0011740B" w:rsidRPr="00E31512" w:rsidRDefault="0011740B" w:rsidP="00580AE7">
      <w:pPr>
        <w:spacing w:line="276" w:lineRule="auto"/>
        <w:jc w:val="both"/>
        <w:rPr>
          <w:rFonts w:ascii="Montserrat" w:hAnsi="Montserrat"/>
          <w:sz w:val="22"/>
          <w:szCs w:val="22"/>
        </w:rPr>
      </w:pPr>
    </w:p>
    <w:p w14:paraId="297A7203" w14:textId="65C2C92D" w:rsidR="0011740B" w:rsidRPr="00E31512" w:rsidRDefault="0011740B" w:rsidP="00580AE7">
      <w:pPr>
        <w:spacing w:line="276" w:lineRule="auto"/>
        <w:jc w:val="both"/>
        <w:rPr>
          <w:rFonts w:ascii="Montserrat" w:hAnsi="Montserrat"/>
          <w:sz w:val="22"/>
          <w:szCs w:val="22"/>
        </w:rPr>
      </w:pPr>
      <w:r w:rsidRPr="00E31512">
        <w:rPr>
          <w:rFonts w:ascii="Montserrat" w:hAnsi="Montserrat"/>
          <w:sz w:val="22"/>
          <w:szCs w:val="22"/>
        </w:rPr>
        <w:t>15.2.</w:t>
      </w:r>
      <w:r w:rsidR="006300A2" w:rsidRPr="00E31512">
        <w:rPr>
          <w:rFonts w:ascii="Montserrat" w:hAnsi="Montserrat"/>
          <w:sz w:val="22"/>
          <w:szCs w:val="22"/>
        </w:rPr>
        <w:t>1 –</w:t>
      </w:r>
      <w:r w:rsidRPr="00E31512">
        <w:rPr>
          <w:rFonts w:ascii="Montserrat" w:hAnsi="Montserrat"/>
          <w:sz w:val="22"/>
          <w:szCs w:val="22"/>
        </w:rPr>
        <w:t xml:space="preserve"> </w:t>
      </w:r>
      <w:r w:rsidRPr="00E31512">
        <w:rPr>
          <w:rFonts w:ascii="Montserrat" w:hAnsi="Montserrat"/>
          <w:sz w:val="22"/>
          <w:szCs w:val="22"/>
          <w:u w:val="single"/>
        </w:rPr>
        <w:t>All</w:t>
      </w:r>
      <w:r w:rsidRPr="00E31512">
        <w:rPr>
          <w:rFonts w:ascii="Montserrat" w:hAnsi="Montserrat"/>
          <w:sz w:val="22"/>
          <w:szCs w:val="22"/>
        </w:rPr>
        <w:t xml:space="preserve"> opening notes must be </w:t>
      </w:r>
      <w:r w:rsidRPr="00E31512">
        <w:rPr>
          <w:rFonts w:ascii="Montserrat" w:hAnsi="Montserrat"/>
          <w:sz w:val="22"/>
          <w:szCs w:val="22"/>
          <w:u w:val="single"/>
        </w:rPr>
        <w:t xml:space="preserve">served </w:t>
      </w:r>
      <w:r w:rsidRPr="00E31512">
        <w:rPr>
          <w:rFonts w:ascii="Montserrat" w:hAnsi="Montserrat"/>
          <w:b/>
          <w:bCs/>
          <w:sz w:val="22"/>
          <w:szCs w:val="22"/>
          <w:u w:val="single"/>
        </w:rPr>
        <w:t>two</w:t>
      </w:r>
      <w:r w:rsidRPr="00E31512">
        <w:rPr>
          <w:rFonts w:ascii="Montserrat" w:hAnsi="Montserrat"/>
          <w:sz w:val="22"/>
          <w:szCs w:val="22"/>
          <w:u w:val="single"/>
        </w:rPr>
        <w:t xml:space="preserve"> clear working days before the start of the trial.</w:t>
      </w:r>
      <w:r w:rsidRPr="00E31512">
        <w:rPr>
          <w:rFonts w:ascii="Montserrat" w:hAnsi="Montserrat"/>
          <w:sz w:val="22"/>
          <w:szCs w:val="22"/>
        </w:rPr>
        <w:t xml:space="preserve"> If the opening notes are served and exchanged in pdf format, each party should also provide a word version to the judge’s clerk.</w:t>
      </w:r>
    </w:p>
    <w:p w14:paraId="429A9082" w14:textId="5157A34C" w:rsidR="0011740B" w:rsidRPr="00E31512" w:rsidRDefault="0011740B" w:rsidP="00580AE7">
      <w:pPr>
        <w:spacing w:line="276" w:lineRule="auto"/>
        <w:jc w:val="both"/>
        <w:rPr>
          <w:rFonts w:ascii="Montserrat" w:hAnsi="Montserrat"/>
          <w:sz w:val="22"/>
          <w:szCs w:val="22"/>
        </w:rPr>
      </w:pPr>
    </w:p>
    <w:p w14:paraId="2A207978" w14:textId="58CC19D9" w:rsidR="00ED3127" w:rsidRPr="00E31512" w:rsidRDefault="00ED3127" w:rsidP="00580AE7">
      <w:pPr>
        <w:spacing w:line="276" w:lineRule="auto"/>
        <w:jc w:val="both"/>
        <w:rPr>
          <w:rFonts w:ascii="Montserrat" w:hAnsi="Montserrat"/>
          <w:sz w:val="22"/>
          <w:szCs w:val="22"/>
        </w:rPr>
      </w:pPr>
      <w:r w:rsidRPr="00E31512">
        <w:rPr>
          <w:rFonts w:ascii="Montserrat" w:hAnsi="Montserrat"/>
          <w:sz w:val="22"/>
          <w:szCs w:val="22"/>
        </w:rPr>
        <w:t xml:space="preserve">15.2.2 </w:t>
      </w:r>
      <w:r w:rsidR="006300A2" w:rsidRPr="00E31512">
        <w:rPr>
          <w:rFonts w:ascii="Montserrat" w:hAnsi="Montserrat"/>
          <w:sz w:val="22"/>
          <w:szCs w:val="22"/>
        </w:rPr>
        <w:t>-</w:t>
      </w:r>
      <w:r w:rsidRPr="00E31512">
        <w:rPr>
          <w:rFonts w:ascii="Montserrat" w:hAnsi="Montserrat"/>
          <w:sz w:val="22"/>
          <w:szCs w:val="22"/>
        </w:rPr>
        <w:t xml:space="preserve"> 15.2.4 – Various additional guidance in relation to trial bundles.</w:t>
      </w:r>
    </w:p>
    <w:p w14:paraId="29087C70" w14:textId="459AB006" w:rsidR="00062512" w:rsidRPr="00E31512" w:rsidRDefault="00062512" w:rsidP="00580AE7">
      <w:pPr>
        <w:spacing w:line="276" w:lineRule="auto"/>
        <w:jc w:val="both"/>
        <w:rPr>
          <w:rFonts w:ascii="Montserrat" w:hAnsi="Montserrat"/>
          <w:sz w:val="22"/>
          <w:szCs w:val="22"/>
        </w:rPr>
      </w:pPr>
    </w:p>
    <w:p w14:paraId="5A5FC021" w14:textId="30D6FD9C" w:rsidR="00062512" w:rsidRPr="00E31512" w:rsidRDefault="007E165A" w:rsidP="00580AE7">
      <w:pPr>
        <w:spacing w:line="276" w:lineRule="auto"/>
        <w:jc w:val="both"/>
        <w:rPr>
          <w:rFonts w:ascii="Montserrat" w:hAnsi="Montserrat"/>
          <w:sz w:val="22"/>
          <w:szCs w:val="22"/>
        </w:rPr>
      </w:pPr>
      <w:r w:rsidRPr="00E31512">
        <w:rPr>
          <w:rFonts w:ascii="Montserrat" w:hAnsi="Montserrat"/>
          <w:sz w:val="22"/>
          <w:szCs w:val="22"/>
        </w:rPr>
        <w:t>15.5.7 – Where a party is represented by more than one advocate at the trial, the advocates may share the oral advocacy including submissions and examination of witnesses. The court encourages oral advocacy to be undertaken by junior advocates. However, the permission of the court is required for more than one advocate for a party to cross-examine the same witness.</w:t>
      </w:r>
    </w:p>
    <w:p w14:paraId="42CC0B76" w14:textId="28E073C7" w:rsidR="009E0BBE" w:rsidRPr="00E31512" w:rsidRDefault="009E0BBE" w:rsidP="00580AE7">
      <w:pPr>
        <w:spacing w:line="276" w:lineRule="auto"/>
        <w:jc w:val="both"/>
        <w:rPr>
          <w:rFonts w:ascii="Montserrat" w:hAnsi="Montserrat"/>
          <w:sz w:val="22"/>
          <w:szCs w:val="22"/>
        </w:rPr>
      </w:pPr>
    </w:p>
    <w:p w14:paraId="45C65ED4" w14:textId="169B148D" w:rsidR="009E0BBE" w:rsidRPr="00E31512" w:rsidRDefault="009E0BBE" w:rsidP="00580AE7">
      <w:pPr>
        <w:spacing w:line="276" w:lineRule="auto"/>
        <w:jc w:val="both"/>
        <w:rPr>
          <w:rFonts w:ascii="Montserrat" w:hAnsi="Montserrat"/>
          <w:sz w:val="22"/>
          <w:szCs w:val="22"/>
        </w:rPr>
      </w:pPr>
      <w:r w:rsidRPr="00E31512">
        <w:rPr>
          <w:rFonts w:ascii="Montserrat" w:hAnsi="Montserrat"/>
          <w:sz w:val="22"/>
          <w:szCs w:val="22"/>
        </w:rPr>
        <w:t xml:space="preserve">15.9.4 – In relation to </w:t>
      </w:r>
      <w:r w:rsidR="00C7117D" w:rsidRPr="00E31512">
        <w:rPr>
          <w:rFonts w:ascii="Montserrat" w:hAnsi="Montserrat"/>
          <w:sz w:val="22"/>
          <w:szCs w:val="22"/>
        </w:rPr>
        <w:t>draft judgments: “</w:t>
      </w:r>
      <w:r w:rsidR="00C7117D" w:rsidRPr="00E31512">
        <w:rPr>
          <w:rFonts w:ascii="Montserrat" w:hAnsi="Montserrat"/>
          <w:i/>
          <w:iCs/>
          <w:sz w:val="22"/>
          <w:szCs w:val="22"/>
        </w:rPr>
        <w:t>As explained in Counsel General v. BEIS (No. 2) [2022] EWCA Civ 181, the draft judgment is only to be used to enable the parties to make suggestions for the correction of errors, prepare submissions on consequential matters and draft orders and to prepare themselves for the publication of the judgment. A breach of any of these obligations may be treated as a contempt of court</w:t>
      </w:r>
      <w:r w:rsidR="00C7117D" w:rsidRPr="00E31512">
        <w:rPr>
          <w:rFonts w:ascii="Montserrat" w:hAnsi="Montserrat"/>
          <w:sz w:val="22"/>
          <w:szCs w:val="22"/>
        </w:rPr>
        <w:t>.”</w:t>
      </w:r>
    </w:p>
    <w:p w14:paraId="56701806" w14:textId="7A38E296" w:rsidR="00C7117D" w:rsidRPr="00E31512" w:rsidRDefault="00C7117D" w:rsidP="00580AE7">
      <w:pPr>
        <w:spacing w:line="276" w:lineRule="auto"/>
        <w:jc w:val="both"/>
        <w:rPr>
          <w:rFonts w:ascii="Montserrat" w:hAnsi="Montserrat"/>
          <w:sz w:val="22"/>
          <w:szCs w:val="22"/>
        </w:rPr>
      </w:pPr>
    </w:p>
    <w:p w14:paraId="53937A29" w14:textId="77777777" w:rsidR="00580AE7" w:rsidRDefault="00580AE7" w:rsidP="00580AE7">
      <w:pPr>
        <w:spacing w:line="276" w:lineRule="auto"/>
        <w:jc w:val="both"/>
        <w:rPr>
          <w:rFonts w:ascii="Montserrat" w:hAnsi="Montserrat"/>
          <w:b/>
          <w:bCs/>
          <w:sz w:val="22"/>
          <w:szCs w:val="22"/>
        </w:rPr>
      </w:pPr>
    </w:p>
    <w:p w14:paraId="73598F4C" w14:textId="5D52FBD1" w:rsidR="00C7117D" w:rsidRPr="00E31512" w:rsidRDefault="00C7117D" w:rsidP="00580AE7">
      <w:pPr>
        <w:spacing w:line="276" w:lineRule="auto"/>
        <w:jc w:val="both"/>
        <w:rPr>
          <w:rFonts w:ascii="Montserrat" w:hAnsi="Montserrat"/>
          <w:b/>
          <w:bCs/>
          <w:sz w:val="22"/>
          <w:szCs w:val="22"/>
        </w:rPr>
      </w:pPr>
      <w:r w:rsidRPr="00E31512">
        <w:rPr>
          <w:rFonts w:ascii="Montserrat" w:hAnsi="Montserrat"/>
          <w:b/>
          <w:bCs/>
          <w:sz w:val="22"/>
          <w:szCs w:val="22"/>
        </w:rPr>
        <w:lastRenderedPageBreak/>
        <w:t>Costs Management</w:t>
      </w:r>
    </w:p>
    <w:p w14:paraId="70F4CE72" w14:textId="77777777" w:rsidR="00C7117D" w:rsidRPr="00E31512" w:rsidRDefault="00C7117D" w:rsidP="00580AE7">
      <w:pPr>
        <w:spacing w:line="276" w:lineRule="auto"/>
        <w:jc w:val="both"/>
        <w:rPr>
          <w:rFonts w:ascii="Montserrat" w:hAnsi="Montserrat"/>
          <w:sz w:val="22"/>
          <w:szCs w:val="22"/>
        </w:rPr>
      </w:pPr>
    </w:p>
    <w:p w14:paraId="02275F68" w14:textId="2E680755" w:rsidR="00C7117D" w:rsidRDefault="00C7117D" w:rsidP="00580AE7">
      <w:pPr>
        <w:spacing w:line="276" w:lineRule="auto"/>
        <w:jc w:val="both"/>
        <w:rPr>
          <w:rFonts w:ascii="Montserrat" w:hAnsi="Montserrat"/>
          <w:sz w:val="22"/>
          <w:szCs w:val="22"/>
        </w:rPr>
      </w:pPr>
      <w:r w:rsidRPr="00E31512">
        <w:rPr>
          <w:rFonts w:ascii="Montserrat" w:hAnsi="Montserrat"/>
          <w:sz w:val="22"/>
          <w:szCs w:val="22"/>
        </w:rPr>
        <w:t>16.3.1 - 16.3.2 – New guidance in relation to costs management.</w:t>
      </w:r>
    </w:p>
    <w:p w14:paraId="67EE0DDC" w14:textId="3296A3CA" w:rsidR="00B324B7" w:rsidRDefault="00B324B7" w:rsidP="00580AE7">
      <w:pPr>
        <w:spacing w:line="276" w:lineRule="auto"/>
        <w:jc w:val="both"/>
        <w:rPr>
          <w:rFonts w:ascii="Montserrat" w:hAnsi="Montserrat"/>
          <w:sz w:val="22"/>
          <w:szCs w:val="22"/>
        </w:rPr>
      </w:pPr>
    </w:p>
    <w:p w14:paraId="58164151" w14:textId="28D985FD" w:rsidR="00B324B7" w:rsidRDefault="00B324B7" w:rsidP="00580AE7">
      <w:pPr>
        <w:spacing w:line="276" w:lineRule="auto"/>
        <w:jc w:val="both"/>
        <w:rPr>
          <w:rFonts w:ascii="Montserrat" w:hAnsi="Montserrat"/>
          <w:b/>
          <w:bCs/>
          <w:sz w:val="22"/>
          <w:szCs w:val="22"/>
        </w:rPr>
      </w:pPr>
      <w:r w:rsidRPr="00B324B7">
        <w:rPr>
          <w:rFonts w:ascii="Montserrat" w:hAnsi="Montserrat"/>
          <w:b/>
          <w:bCs/>
          <w:sz w:val="22"/>
          <w:szCs w:val="22"/>
        </w:rPr>
        <w:t>APPENDICES</w:t>
      </w:r>
    </w:p>
    <w:p w14:paraId="3BF61640" w14:textId="6AC058D5" w:rsidR="00B324B7" w:rsidRDefault="00B324B7" w:rsidP="00580AE7">
      <w:pPr>
        <w:spacing w:line="276" w:lineRule="auto"/>
        <w:jc w:val="both"/>
        <w:rPr>
          <w:rFonts w:ascii="Montserrat" w:hAnsi="Montserrat"/>
          <w:b/>
          <w:bCs/>
          <w:sz w:val="22"/>
          <w:szCs w:val="22"/>
        </w:rPr>
      </w:pPr>
    </w:p>
    <w:p w14:paraId="701CDD6F" w14:textId="20B494E5" w:rsidR="00B324B7" w:rsidRPr="0085567B" w:rsidRDefault="0085567B" w:rsidP="00580AE7">
      <w:pPr>
        <w:spacing w:line="276" w:lineRule="auto"/>
        <w:jc w:val="both"/>
        <w:rPr>
          <w:rFonts w:ascii="Montserrat" w:hAnsi="Montserrat"/>
          <w:sz w:val="22"/>
          <w:szCs w:val="22"/>
        </w:rPr>
      </w:pPr>
      <w:r w:rsidRPr="0085567B">
        <w:rPr>
          <w:rFonts w:ascii="Montserrat" w:hAnsi="Montserrat"/>
          <w:sz w:val="22"/>
          <w:szCs w:val="22"/>
        </w:rPr>
        <w:t>Appendix B: Case management directions form – Revised</w:t>
      </w:r>
    </w:p>
    <w:p w14:paraId="4AC0DF85" w14:textId="751D77E2" w:rsidR="0085567B" w:rsidRDefault="00DA19B9" w:rsidP="00580AE7">
      <w:pPr>
        <w:spacing w:line="276" w:lineRule="auto"/>
        <w:jc w:val="both"/>
        <w:rPr>
          <w:rFonts w:ascii="Montserrat" w:hAnsi="Montserrat"/>
          <w:sz w:val="22"/>
          <w:szCs w:val="22"/>
        </w:rPr>
      </w:pPr>
      <w:r w:rsidRPr="00DA19B9">
        <w:rPr>
          <w:rFonts w:ascii="Montserrat" w:hAnsi="Montserrat"/>
          <w:sz w:val="22"/>
          <w:szCs w:val="22"/>
        </w:rPr>
        <w:t>Appendix F: Draft directions order in adjudication enforcement proceedings</w:t>
      </w:r>
      <w:r>
        <w:rPr>
          <w:rFonts w:ascii="Montserrat" w:hAnsi="Montserrat"/>
          <w:sz w:val="22"/>
          <w:szCs w:val="22"/>
        </w:rPr>
        <w:t xml:space="preserve"> – Revised</w:t>
      </w:r>
    </w:p>
    <w:p w14:paraId="068D04C7" w14:textId="4304E7DB" w:rsidR="00DA19B9" w:rsidRDefault="00DA19B9" w:rsidP="00580AE7">
      <w:pPr>
        <w:spacing w:line="276" w:lineRule="auto"/>
        <w:jc w:val="both"/>
        <w:rPr>
          <w:rFonts w:ascii="Montserrat" w:hAnsi="Montserrat"/>
          <w:sz w:val="22"/>
          <w:szCs w:val="22"/>
        </w:rPr>
      </w:pPr>
      <w:r w:rsidRPr="00DA19B9">
        <w:rPr>
          <w:rFonts w:ascii="Montserrat" w:hAnsi="Montserrat"/>
          <w:sz w:val="22"/>
          <w:szCs w:val="22"/>
        </w:rPr>
        <w:t>Appendix I: General Guidance on Statements of Case</w:t>
      </w:r>
      <w:r>
        <w:rPr>
          <w:rFonts w:ascii="Montserrat" w:hAnsi="Montserrat"/>
          <w:sz w:val="22"/>
          <w:szCs w:val="22"/>
        </w:rPr>
        <w:t xml:space="preserve"> – New</w:t>
      </w:r>
    </w:p>
    <w:p w14:paraId="2E3FA23D" w14:textId="7FC9AE2F" w:rsidR="00DA19B9" w:rsidRDefault="00DA19B9" w:rsidP="00580AE7">
      <w:pPr>
        <w:spacing w:line="276" w:lineRule="auto"/>
        <w:jc w:val="both"/>
        <w:rPr>
          <w:rFonts w:ascii="Montserrat" w:hAnsi="Montserrat"/>
          <w:sz w:val="22"/>
          <w:szCs w:val="22"/>
        </w:rPr>
      </w:pPr>
      <w:r w:rsidRPr="00DA19B9">
        <w:rPr>
          <w:rFonts w:ascii="Montserrat" w:hAnsi="Montserrat"/>
          <w:sz w:val="22"/>
          <w:szCs w:val="22"/>
        </w:rPr>
        <w:t>Appendix J: General Guidance on Electronic Court Bundles</w:t>
      </w:r>
      <w:r>
        <w:rPr>
          <w:rFonts w:ascii="Montserrat" w:hAnsi="Montserrat"/>
          <w:sz w:val="22"/>
          <w:szCs w:val="22"/>
        </w:rPr>
        <w:t xml:space="preserve"> – New</w:t>
      </w:r>
    </w:p>
    <w:p w14:paraId="772C2CD1" w14:textId="29CC64BC" w:rsidR="00DA19B9" w:rsidRDefault="00DA19B9" w:rsidP="00580AE7">
      <w:pPr>
        <w:spacing w:line="276" w:lineRule="auto"/>
        <w:jc w:val="both"/>
        <w:rPr>
          <w:rFonts w:ascii="Montserrat" w:hAnsi="Montserrat"/>
          <w:sz w:val="22"/>
          <w:szCs w:val="22"/>
        </w:rPr>
      </w:pPr>
      <w:r w:rsidRPr="00DA19B9">
        <w:rPr>
          <w:rFonts w:ascii="Montserrat" w:hAnsi="Montserrat"/>
          <w:sz w:val="22"/>
          <w:szCs w:val="22"/>
        </w:rPr>
        <w:t>Appendix K: The BPC Protocol for Remote and Hybrid Hearings</w:t>
      </w:r>
      <w:r>
        <w:rPr>
          <w:rFonts w:ascii="Montserrat" w:hAnsi="Montserrat"/>
          <w:sz w:val="22"/>
          <w:szCs w:val="22"/>
        </w:rPr>
        <w:t xml:space="preserve"> – New</w:t>
      </w:r>
    </w:p>
    <w:p w14:paraId="21413EF0" w14:textId="5F185155" w:rsidR="009866DE" w:rsidRDefault="009866DE" w:rsidP="00580AE7">
      <w:pPr>
        <w:spacing w:line="276" w:lineRule="auto"/>
        <w:jc w:val="both"/>
        <w:rPr>
          <w:rFonts w:ascii="Montserrat" w:hAnsi="Montserrat"/>
          <w:sz w:val="22"/>
          <w:szCs w:val="22"/>
        </w:rPr>
      </w:pPr>
    </w:p>
    <w:sectPr w:rsidR="00986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223FD"/>
    <w:multiLevelType w:val="multilevel"/>
    <w:tmpl w:val="B1D6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47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D9"/>
    <w:rsid w:val="00024470"/>
    <w:rsid w:val="000254CA"/>
    <w:rsid w:val="000466B4"/>
    <w:rsid w:val="00062512"/>
    <w:rsid w:val="0011740B"/>
    <w:rsid w:val="00204EF2"/>
    <w:rsid w:val="00243921"/>
    <w:rsid w:val="00277666"/>
    <w:rsid w:val="002C5C8A"/>
    <w:rsid w:val="003B1C32"/>
    <w:rsid w:val="003C3FFE"/>
    <w:rsid w:val="003C4325"/>
    <w:rsid w:val="003E0E7D"/>
    <w:rsid w:val="003E4A2E"/>
    <w:rsid w:val="004B221E"/>
    <w:rsid w:val="00543E26"/>
    <w:rsid w:val="00580AE7"/>
    <w:rsid w:val="005A2107"/>
    <w:rsid w:val="005E4C91"/>
    <w:rsid w:val="00627A23"/>
    <w:rsid w:val="006300A2"/>
    <w:rsid w:val="006344E2"/>
    <w:rsid w:val="006A469C"/>
    <w:rsid w:val="00710483"/>
    <w:rsid w:val="007B67A0"/>
    <w:rsid w:val="007E165A"/>
    <w:rsid w:val="0081223F"/>
    <w:rsid w:val="00826811"/>
    <w:rsid w:val="0085567B"/>
    <w:rsid w:val="00900364"/>
    <w:rsid w:val="00901BA9"/>
    <w:rsid w:val="009262AD"/>
    <w:rsid w:val="009819C3"/>
    <w:rsid w:val="009866DE"/>
    <w:rsid w:val="0098713B"/>
    <w:rsid w:val="009E0BBE"/>
    <w:rsid w:val="00A25185"/>
    <w:rsid w:val="00A90006"/>
    <w:rsid w:val="00A909D9"/>
    <w:rsid w:val="00AA0EB0"/>
    <w:rsid w:val="00AE547F"/>
    <w:rsid w:val="00B324B7"/>
    <w:rsid w:val="00B8226E"/>
    <w:rsid w:val="00BB63BC"/>
    <w:rsid w:val="00BC4967"/>
    <w:rsid w:val="00C02351"/>
    <w:rsid w:val="00C7117D"/>
    <w:rsid w:val="00C72656"/>
    <w:rsid w:val="00DA19B9"/>
    <w:rsid w:val="00E31512"/>
    <w:rsid w:val="00E37150"/>
    <w:rsid w:val="00EA3725"/>
    <w:rsid w:val="00ED3127"/>
    <w:rsid w:val="00EF1913"/>
    <w:rsid w:val="00F11CEA"/>
    <w:rsid w:val="00F80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C1EC"/>
  <w15:chartTrackingRefBased/>
  <w15:docId w15:val="{BD09D495-8D1C-BC44-8E6A-40F7232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9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818885">
      <w:bodyDiv w:val="1"/>
      <w:marLeft w:val="0"/>
      <w:marRight w:val="0"/>
      <w:marTop w:val="0"/>
      <w:marBottom w:val="0"/>
      <w:divBdr>
        <w:top w:val="none" w:sz="0" w:space="0" w:color="auto"/>
        <w:left w:val="none" w:sz="0" w:space="0" w:color="auto"/>
        <w:bottom w:val="none" w:sz="0" w:space="0" w:color="auto"/>
        <w:right w:val="none" w:sz="0" w:space="0" w:color="auto"/>
      </w:divBdr>
      <w:divsChild>
        <w:div w:id="105854238">
          <w:marLeft w:val="0"/>
          <w:marRight w:val="0"/>
          <w:marTop w:val="0"/>
          <w:marBottom w:val="0"/>
          <w:divBdr>
            <w:top w:val="none" w:sz="0" w:space="0" w:color="auto"/>
            <w:left w:val="none" w:sz="0" w:space="0" w:color="auto"/>
            <w:bottom w:val="none" w:sz="0" w:space="0" w:color="auto"/>
            <w:right w:val="none" w:sz="0" w:space="0" w:color="auto"/>
          </w:divBdr>
          <w:divsChild>
            <w:div w:id="339700313">
              <w:marLeft w:val="0"/>
              <w:marRight w:val="0"/>
              <w:marTop w:val="0"/>
              <w:marBottom w:val="0"/>
              <w:divBdr>
                <w:top w:val="none" w:sz="0" w:space="0" w:color="auto"/>
                <w:left w:val="none" w:sz="0" w:space="0" w:color="auto"/>
                <w:bottom w:val="none" w:sz="0" w:space="0" w:color="auto"/>
                <w:right w:val="none" w:sz="0" w:space="0" w:color="auto"/>
              </w:divBdr>
              <w:divsChild>
                <w:div w:id="17605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Grimley</dc:creator>
  <cp:keywords/>
  <dc:description/>
  <cp:lastModifiedBy>Ryan Turner</cp:lastModifiedBy>
  <cp:revision>3</cp:revision>
  <cp:lastPrinted>2022-11-01T10:56:00Z</cp:lastPrinted>
  <dcterms:created xsi:type="dcterms:W3CDTF">2022-11-28T14:13:00Z</dcterms:created>
  <dcterms:modified xsi:type="dcterms:W3CDTF">2022-11-29T16:09:00Z</dcterms:modified>
</cp:coreProperties>
</file>